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A2D" w:rsidRPr="00D81A2D" w:rsidRDefault="00840CB2" w:rsidP="3E822945">
      <w:pPr>
        <w:pStyle w:val="Heading11"/>
        <w:numPr>
          <w:ilvl w:val="0"/>
          <w:numId w:val="0"/>
        </w:numPr>
        <w:jc w:val="center"/>
        <w:rPr>
          <w:bCs/>
          <w:sz w:val="28"/>
          <w:szCs w:val="28"/>
        </w:rPr>
      </w:pPr>
      <w:bookmarkStart w:id="0" w:name="_GoBack"/>
      <w:bookmarkEnd w:id="0"/>
      <w:r w:rsidRPr="3E822945">
        <w:rPr>
          <w:sz w:val="28"/>
          <w:szCs w:val="28"/>
          <w:lang w:val="en-IE"/>
        </w:rPr>
        <w:t>DOCUMENT UNIQUE</w:t>
      </w:r>
    </w:p>
    <w:p w:rsidR="00D81A2D" w:rsidRPr="00D81A2D" w:rsidRDefault="00840CB2" w:rsidP="3E822945">
      <w:pPr>
        <w:pStyle w:val="Heading11"/>
        <w:numPr>
          <w:ilvl w:val="0"/>
          <w:numId w:val="0"/>
        </w:numPr>
        <w:jc w:val="center"/>
        <w:rPr>
          <w:bCs/>
          <w:szCs w:val="24"/>
        </w:rPr>
      </w:pPr>
      <w:r w:rsidRPr="3E822945">
        <w:t xml:space="preserve">Appellations d’origine </w:t>
      </w:r>
      <w:proofErr w:type="gramStart"/>
      <w:r w:rsidRPr="3E822945">
        <w:t>et</w:t>
      </w:r>
      <w:proofErr w:type="gramEnd"/>
      <w:r w:rsidRPr="3E822945">
        <w:t xml:space="preserve"> </w:t>
      </w:r>
      <w:r w:rsidRPr="3E822945">
        <w:t>indications géographiques pour les produits agricoles</w:t>
      </w:r>
    </w:p>
    <w:p w:rsidR="00D81A2D" w:rsidRPr="00D81A2D" w:rsidRDefault="00840CB2" w:rsidP="2840FFB6">
      <w:pPr>
        <w:pStyle w:val="Normal1"/>
        <w:spacing w:before="120" w:after="120"/>
        <w:jc w:val="center"/>
        <w:rPr>
          <w:szCs w:val="24"/>
          <w:lang w:val="fr-BE"/>
        </w:rPr>
      </w:pPr>
    </w:p>
    <w:p w:rsidR="00D81A2D" w:rsidRDefault="00840CB2" w:rsidP="54167FA5">
      <w:pPr>
        <w:pStyle w:val="Subtitle10"/>
        <w:rPr>
          <w:rFonts w:ascii="Times New Roman" w:hAnsi="Times New Roman"/>
          <w:color w:val="000000"/>
          <w:szCs w:val="24"/>
          <w:lang w:val="fr-BE"/>
        </w:rPr>
      </w:pPr>
      <w:r w:rsidRPr="00140248">
        <w:rPr>
          <w:rFonts w:ascii="Times New Roman" w:hAnsi="Times New Roman"/>
          <w:color w:val="000000"/>
          <w:szCs w:val="24"/>
          <w:lang w:val="fr-BE"/>
        </w:rPr>
        <w:t>‘Prés-salés de la baie de Somme’</w:t>
      </w:r>
    </w:p>
    <w:p w:rsidR="007404D7" w:rsidRPr="007404D7" w:rsidRDefault="00840CB2" w:rsidP="007404D7">
      <w:pPr>
        <w:pStyle w:val="Subtitle10"/>
        <w:rPr>
          <w:rFonts w:ascii="Times New Roman" w:hAnsi="Times New Roman"/>
          <w:color w:val="000000"/>
          <w:szCs w:val="24"/>
          <w:lang w:val="fr-BE"/>
        </w:rPr>
      </w:pPr>
      <w:r w:rsidRPr="007404D7">
        <w:rPr>
          <w:rFonts w:ascii="Times New Roman" w:hAnsi="Times New Roman"/>
          <w:color w:val="000000"/>
          <w:szCs w:val="24"/>
          <w:lang w:val="fr-BE"/>
        </w:rPr>
        <w:t>Numéro de référence UE: DRAFT-PDO-FR-0604-AMD-STD_MSD - -</w:t>
      </w:r>
    </w:p>
    <w:p w:rsidR="0097257E" w:rsidRPr="0097257E" w:rsidRDefault="00840CB2" w:rsidP="0097257E">
      <w:pPr>
        <w:pStyle w:val="Subtitle10"/>
        <w:rPr>
          <w:rFonts w:ascii="Times New Roman" w:hAnsi="Times New Roman"/>
          <w:color w:val="000000"/>
          <w:szCs w:val="24"/>
          <w:lang w:val="fr-BE"/>
        </w:rPr>
      </w:pPr>
    </w:p>
    <w:p w:rsidR="00472529" w:rsidRPr="00DE5C42" w:rsidRDefault="00840CB2" w:rsidP="54167FA5">
      <w:pPr>
        <w:pStyle w:val="Subtitle10"/>
        <w:rPr>
          <w:rFonts w:ascii="Times New Roman" w:hAnsi="Times New Roman"/>
          <w:color w:val="000000"/>
          <w:szCs w:val="24"/>
          <w:highlight w:val="yellow"/>
          <w:lang w:val="fr-BE"/>
        </w:rPr>
      </w:pPr>
    </w:p>
    <w:p w:rsidR="00472529" w:rsidRPr="0097257E" w:rsidRDefault="00840CB2" w:rsidP="12178343">
      <w:pPr>
        <w:pStyle w:val="Heading11"/>
        <w:ind w:left="450" w:hanging="450"/>
        <w:jc w:val="left"/>
        <w:rPr>
          <w:lang w:val="fr-BE"/>
        </w:rPr>
      </w:pPr>
      <w:r w:rsidRPr="12178343">
        <w:rPr>
          <w:lang w:val="fr-BE"/>
        </w:rPr>
        <w:t>Dénomination(s)</w:t>
      </w:r>
    </w:p>
    <w:p w:rsidR="42C16D6A" w:rsidRPr="005652C9" w:rsidRDefault="00840CB2" w:rsidP="12178343">
      <w:pPr>
        <w:pStyle w:val="Normal1"/>
        <w:ind w:left="450"/>
        <w:jc w:val="left"/>
        <w:rPr>
          <w:lang w:val="fr-BE"/>
        </w:rPr>
      </w:pPr>
      <w:r w:rsidRPr="005652C9">
        <w:rPr>
          <w:szCs w:val="24"/>
          <w:lang w:val="fr-BE"/>
        </w:rPr>
        <w:t>‘</w:t>
      </w:r>
      <w:r w:rsidRPr="005652C9">
        <w:rPr>
          <w:lang w:val="fr-BE"/>
        </w:rPr>
        <w:t>Prés-salés de la baie de Somme</w:t>
      </w:r>
      <w:r w:rsidRPr="005652C9">
        <w:rPr>
          <w:lang w:val="fr-BE"/>
        </w:rPr>
        <w:t>’</w:t>
      </w:r>
    </w:p>
    <w:p w:rsidR="00814485" w:rsidRPr="00132807" w:rsidRDefault="00840CB2" w:rsidP="12178343">
      <w:pPr>
        <w:pStyle w:val="Heading11"/>
        <w:ind w:left="450" w:hanging="450"/>
        <w:jc w:val="left"/>
      </w:pPr>
      <w:r>
        <w:t>Type d’indication géographique</w:t>
      </w:r>
    </w:p>
    <w:p w:rsidR="00F47739" w:rsidRDefault="00840CB2" w:rsidP="00F47739">
      <w:pPr>
        <w:pStyle w:val="Normal1"/>
        <w:keepNext/>
        <w:ind w:left="450"/>
        <w:jc w:val="left"/>
        <w:rPr>
          <w:b/>
          <w:bCs/>
          <w:szCs w:val="24"/>
        </w:rPr>
      </w:pPr>
      <w:r w:rsidRPr="5B73EBD1">
        <w:rPr>
          <w:szCs w:val="24"/>
        </w:rPr>
        <w:t xml:space="preserve">☑ AOP </w:t>
      </w:r>
    </w:p>
    <w:p w:rsidR="00F47739" w:rsidRDefault="00840CB2" w:rsidP="00F47739">
      <w:pPr>
        <w:pStyle w:val="Normal1"/>
        <w:keepNext/>
        <w:ind w:left="450"/>
        <w:jc w:val="left"/>
        <w:rPr>
          <w:szCs w:val="24"/>
        </w:rPr>
      </w:pPr>
      <w:r w:rsidRPr="5B73EBD1">
        <w:rPr>
          <w:szCs w:val="24"/>
        </w:rPr>
        <w:t>☐ IGP</w:t>
      </w:r>
    </w:p>
    <w:p w:rsidR="00472529" w:rsidRPr="00132807" w:rsidRDefault="00840CB2" w:rsidP="3DFDAB3A">
      <w:pPr>
        <w:pStyle w:val="Heading11"/>
        <w:ind w:left="450" w:hanging="450"/>
        <w:jc w:val="left"/>
      </w:pPr>
      <w:r>
        <w:t xml:space="preserve">Pays dont fait </w:t>
      </w:r>
      <w:r>
        <w:t>partie l’aire géographique délimitée</w:t>
      </w:r>
    </w:p>
    <w:p w:rsidR="74F65803" w:rsidRDefault="00840CB2" w:rsidP="3DFDAB3A">
      <w:pPr>
        <w:pStyle w:val="Normal1"/>
        <w:ind w:left="450"/>
        <w:jc w:val="left"/>
      </w:pPr>
      <w:r>
        <w:t>France</w:t>
      </w:r>
    </w:p>
    <w:p w:rsidR="0097257E" w:rsidRDefault="00840CB2" w:rsidP="3DFDAB3A">
      <w:pPr>
        <w:pStyle w:val="Heading11"/>
        <w:ind w:left="450" w:hanging="450"/>
        <w:jc w:val="left"/>
      </w:pPr>
      <w:r>
        <w:t>Description du produit agricole</w:t>
      </w:r>
    </w:p>
    <w:p w:rsidR="28B8620F" w:rsidRDefault="00840CB2" w:rsidP="3DFDAB3A">
      <w:pPr>
        <w:pStyle w:val="Heading21"/>
        <w:ind w:left="1080" w:hanging="630"/>
        <w:jc w:val="left"/>
      </w:pPr>
      <w:r>
        <w:t>Classement du produit agricole conformément à la position et au code de la nomenclature combinée, visé à l’article 6, paragraphe 1, du règlement (UE) 2024/1143</w:t>
      </w:r>
    </w:p>
    <w:p w:rsidR="4E6DC23D" w:rsidRDefault="00840CB2" w:rsidP="3DFDAB3A">
      <w:pPr>
        <w:pStyle w:val="Normal1"/>
        <w:ind w:left="1080"/>
        <w:jc w:val="left"/>
      </w:pPr>
      <w:proofErr w:type="gramStart"/>
      <w:r>
        <w:t>02</w:t>
      </w:r>
      <w:proofErr w:type="gramEnd"/>
      <w:r>
        <w:t xml:space="preserve"> - VIANDES ET ABAT</w:t>
      </w:r>
      <w:r>
        <w:t>S COMESTIBLES</w:t>
      </w:r>
    </w:p>
    <w:p w:rsidR="00BA44B2" w:rsidRPr="00A90228" w:rsidRDefault="00840CB2" w:rsidP="3DFDAB3A">
      <w:pPr>
        <w:pStyle w:val="Heading21"/>
        <w:ind w:left="1080" w:hanging="630"/>
      </w:pPr>
      <w:r>
        <w:t>Description du produit agricole portant la dénomination enregistrée</w:t>
      </w:r>
    </w:p>
    <w:tbl>
      <w:tblPr>
        <w:tblStyle w:val="TableGrid0"/>
        <w:tblW w:w="0" w:type="auto"/>
        <w:tblInd w:w="993" w:type="dxa"/>
        <w:tblLayout w:type="fixed"/>
        <w:tblLook w:val="06A0" w:firstRow="1" w:lastRow="0" w:firstColumn="1" w:lastColumn="0" w:noHBand="1" w:noVBand="1"/>
      </w:tblPr>
      <w:tblGrid>
        <w:gridCol w:w="7440"/>
      </w:tblGrid>
      <w:tr w:rsidR="00BA1CA0" w:rsidTr="00256A1C">
        <w:trPr>
          <w:trHeight w:val="300"/>
        </w:trPr>
        <w:tc>
          <w:tcPr>
            <w:tcW w:w="7440" w:type="dxa"/>
            <w:tcBorders>
              <w:top w:val="nil"/>
              <w:left w:val="nil"/>
              <w:bottom w:val="nil"/>
              <w:right w:val="nil"/>
            </w:tcBorders>
          </w:tcPr>
          <w:p w:rsidR="7096B4A6" w:rsidRDefault="00840CB2" w:rsidP="00DB50EE">
            <w:pPr>
              <w:pStyle w:val="Normal1"/>
            </w:pPr>
          </w:p>
          <w:p w:rsidR="00BA1CA0" w:rsidRDefault="00840CB2">
            <w:pPr>
              <w:pStyle w:val="Normal1"/>
              <w:spacing w:after="280" w:afterAutospacing="1"/>
            </w:pPr>
            <w:r>
              <w:rPr>
                <w:u w:val="single"/>
              </w:rPr>
              <w:t>Description du produit portant la dénomination</w:t>
            </w:r>
          </w:p>
          <w:p w:rsidR="00BA1CA0" w:rsidRDefault="00840CB2">
            <w:pPr>
              <w:pStyle w:val="Normal1"/>
              <w:spacing w:after="280" w:afterAutospacing="1"/>
            </w:pPr>
            <w:r>
              <w:t xml:space="preserve">La viande bénéficiant de l'appellation «Prés-salés de la baie de Somme» est issue d'agneaux âgés de moins de 12 mois élevés </w:t>
            </w:r>
            <w:r>
              <w:t>sur les marais salés au moins 75 jours dans le respect des équilibres naturels de ce milieu où ils sont alimentés essentiellement à partir du pâturage de la végétation halophyte des marais salés. Les béliers reproducteurs appartiennent aux races «Suffolk»,</w:t>
            </w:r>
            <w:r>
              <w:t xml:space="preserve"> «Hampshire», «Roussin», «Ile de France», «Rouge de l’Ouest», «Boulonnais» et «Vendéen». Les femelles reproductrices sont, à l’exception de situations particulières de reconstitution de troupeaux déclarées auprès des structures de contrôle, nées de brebis </w:t>
            </w:r>
            <w:r>
              <w:t xml:space="preserve">élevées sur marais </w:t>
            </w:r>
            <w:r>
              <w:lastRenderedPageBreak/>
              <w:t>salés dans des exploitations titulaires d’un titre d’exploitation pastorale de marais salé.</w:t>
            </w:r>
          </w:p>
          <w:p w:rsidR="00BA1CA0" w:rsidRDefault="00840CB2">
            <w:pPr>
              <w:pStyle w:val="Normal1"/>
              <w:spacing w:after="280" w:afterAutospacing="1"/>
            </w:pPr>
            <w:r>
              <w:rPr>
                <w:u w:val="single"/>
              </w:rPr>
              <w:t>Les carcasses présentent les caractéristiques suivantes :</w:t>
            </w:r>
          </w:p>
          <w:p w:rsidR="00BA1CA0" w:rsidRDefault="00840CB2">
            <w:pPr>
              <w:pStyle w:val="Normal1"/>
              <w:numPr>
                <w:ilvl w:val="0"/>
                <w:numId w:val="35"/>
              </w:numPr>
            </w:pPr>
            <w:r>
              <w:t>un poids de 16 kg minimum;</w:t>
            </w:r>
          </w:p>
          <w:p w:rsidR="00BA1CA0" w:rsidRDefault="00840CB2">
            <w:pPr>
              <w:pStyle w:val="Normal1"/>
              <w:numPr>
                <w:ilvl w:val="0"/>
                <w:numId w:val="35"/>
              </w:numPr>
            </w:pPr>
            <w:r>
              <w:t>une conformation présentant «un profil rectiligne à subconca</w:t>
            </w:r>
            <w:r>
              <w:t>ves» et «un développement musculaire moyen à important» (classement U,R,O, grille EUROP);</w:t>
            </w:r>
          </w:p>
          <w:p w:rsidR="00BA1CA0" w:rsidRDefault="00840CB2">
            <w:pPr>
              <w:pStyle w:val="Normal1"/>
              <w:numPr>
                <w:ilvl w:val="0"/>
                <w:numId w:val="35"/>
              </w:numPr>
            </w:pPr>
            <w:r>
              <w:t>un état d’engraissement «cirées à couvertes» (classement 2 ou 3 grille EUROP);</w:t>
            </w:r>
          </w:p>
          <w:p w:rsidR="00BA1CA0" w:rsidRDefault="00840CB2">
            <w:pPr>
              <w:pStyle w:val="Normal1"/>
              <w:numPr>
                <w:ilvl w:val="0"/>
                <w:numId w:val="35"/>
              </w:numPr>
              <w:spacing w:after="280" w:afterAutospacing="1"/>
            </w:pPr>
            <w:proofErr w:type="gramStart"/>
            <w:r>
              <w:t>un</w:t>
            </w:r>
            <w:proofErr w:type="gramEnd"/>
            <w:r>
              <w:t xml:space="preserve"> gras externe et interne ferme et de couleur blanc à blanc crème.</w:t>
            </w:r>
          </w:p>
          <w:p w:rsidR="00BA1CA0" w:rsidRDefault="00840CB2">
            <w:pPr>
              <w:pStyle w:val="Normal1"/>
              <w:spacing w:after="280" w:afterAutospacing="1"/>
            </w:pPr>
            <w:r>
              <w:t>La viande se distin</w:t>
            </w:r>
            <w:r>
              <w:t>gue par sa couleur rosée. Elle offre à la cuisson une jutosité élevée et soutenue tout au long de la mastication ainsi que des arômes intenses et persistants en bouche. La viande est présentée réfrigérée, à l’exception de la viande décongelée réfrigérée.</w:t>
            </w:r>
          </w:p>
          <w:p w:rsidR="43C3CD81" w:rsidRDefault="00840CB2">
            <w:pPr>
              <w:pStyle w:val="Normal1"/>
              <w:spacing w:after="280" w:afterAutospacing="1"/>
            </w:pPr>
          </w:p>
        </w:tc>
      </w:tr>
    </w:tbl>
    <w:p w:rsidR="00BA44B2" w:rsidRPr="00A90228" w:rsidRDefault="00840CB2" w:rsidP="3DFDAB3A">
      <w:pPr>
        <w:pStyle w:val="Heading21"/>
        <w:ind w:left="1080" w:hanging="630"/>
      </w:pPr>
      <w:r>
        <w:lastRenderedPageBreak/>
        <w:t>Dérogations concernant l’origine des aliments pour animaux (uniquement pour les produits d’origine animale désignés par une appellation d’origine protégée) et restrictions à la provenance des matières premières (uniquement pour les produits transformés dé</w:t>
      </w:r>
      <w:r>
        <w:t>signés par une indication géographique protégée)</w:t>
      </w:r>
    </w:p>
    <w:p w:rsidR="17BED756" w:rsidRDefault="00840CB2" w:rsidP="3DFDAB3A">
      <w:pPr>
        <w:pStyle w:val="Normal1"/>
        <w:ind w:left="1080"/>
        <w:jc w:val="left"/>
      </w:pPr>
      <w:r>
        <w:t>-</w:t>
      </w:r>
    </w:p>
    <w:p w:rsidR="00BA44B2" w:rsidRPr="00A90228" w:rsidRDefault="00840CB2" w:rsidP="3DFDAB3A">
      <w:pPr>
        <w:pStyle w:val="Heading21"/>
        <w:ind w:left="1080" w:hanging="630"/>
      </w:pPr>
      <w:r>
        <w:t>Étapes spécifiques de la production qui doit avoir lieu dans l’aire géographique délimitée</w:t>
      </w:r>
    </w:p>
    <w:tbl>
      <w:tblPr>
        <w:tblStyle w:val="TableGrid0"/>
        <w:tblW w:w="0" w:type="auto"/>
        <w:tblInd w:w="993" w:type="dxa"/>
        <w:tblLayout w:type="fixed"/>
        <w:tblLook w:val="0600" w:firstRow="0" w:lastRow="0" w:firstColumn="0" w:lastColumn="0" w:noHBand="1" w:noVBand="1"/>
      </w:tblPr>
      <w:tblGrid>
        <w:gridCol w:w="7410"/>
      </w:tblGrid>
      <w:tr w:rsidR="00BA1CA0" w:rsidTr="003739BB">
        <w:trPr>
          <w:trHeight w:val="300"/>
        </w:trPr>
        <w:tc>
          <w:tcPr>
            <w:tcW w:w="7410" w:type="dxa"/>
            <w:tcBorders>
              <w:top w:val="nil"/>
              <w:left w:val="nil"/>
              <w:bottom w:val="nil"/>
              <w:right w:val="nil"/>
            </w:tcBorders>
          </w:tcPr>
          <w:p w:rsidR="2320A506" w:rsidRDefault="00840CB2" w:rsidP="003739BB">
            <w:pPr>
              <w:pStyle w:val="Normal1"/>
              <w:rPr>
                <w:color w:val="000000"/>
              </w:rPr>
            </w:pPr>
            <w:r>
              <w:t>La naissance, l'élevage, le pâturage maritime et l'abattage des agneaux ont lieu dans l'aire géographique de l'AOP</w:t>
            </w:r>
            <w:r>
              <w:t xml:space="preserve"> «Prés-salés de la baie de Somme».</w:t>
            </w:r>
          </w:p>
        </w:tc>
      </w:tr>
    </w:tbl>
    <w:p w:rsidR="00BA44B2" w:rsidRPr="00A90228" w:rsidRDefault="00840CB2" w:rsidP="3DFDAB3A">
      <w:pPr>
        <w:pStyle w:val="Heading21"/>
        <w:ind w:left="1080" w:hanging="630"/>
      </w:pPr>
      <w:r>
        <w:t>Règles spécifiques applicables au conditionnement, tranchage, râpage, etc., du produit agricole auquel la dénomination fait référence</w:t>
      </w:r>
    </w:p>
    <w:p w:rsidR="475EE9E9" w:rsidRDefault="00840CB2" w:rsidP="3DFDAB3A">
      <w:pPr>
        <w:pStyle w:val="Normal1"/>
        <w:ind w:left="1080"/>
        <w:jc w:val="left"/>
      </w:pPr>
      <w:r>
        <w:t>-</w:t>
      </w:r>
    </w:p>
    <w:p w:rsidR="00BA44B2" w:rsidRPr="00A90228" w:rsidRDefault="00840CB2" w:rsidP="3DFDAB3A">
      <w:pPr>
        <w:pStyle w:val="Heading21"/>
        <w:ind w:left="1080" w:hanging="630"/>
      </w:pPr>
      <w:r>
        <w:t>Règles spécifiques concernant l'étiquetage du produit agricole auquel se réfère le n</w:t>
      </w:r>
      <w:r>
        <w:t>om enregistré</w:t>
      </w:r>
    </w:p>
    <w:tbl>
      <w:tblPr>
        <w:tblStyle w:val="TableGrid0"/>
        <w:tblW w:w="0" w:type="auto"/>
        <w:tblInd w:w="993" w:type="dxa"/>
        <w:tblBorders>
          <w:top w:val="nil"/>
          <w:left w:val="nil"/>
          <w:bottom w:val="nil"/>
          <w:right w:val="nil"/>
          <w:insideH w:val="nil"/>
          <w:insideV w:val="nil"/>
        </w:tblBorders>
        <w:tblLayout w:type="fixed"/>
        <w:tblLook w:val="06A0" w:firstRow="1" w:lastRow="0" w:firstColumn="1" w:lastColumn="0" w:noHBand="1" w:noVBand="1"/>
      </w:tblPr>
      <w:tblGrid>
        <w:gridCol w:w="7410"/>
      </w:tblGrid>
      <w:tr w:rsidR="00BA1CA0" w:rsidTr="003739BB">
        <w:trPr>
          <w:trHeight w:val="300"/>
        </w:trPr>
        <w:tc>
          <w:tcPr>
            <w:tcW w:w="7410" w:type="dxa"/>
          </w:tcPr>
          <w:p w:rsidR="3D084813" w:rsidRDefault="00840CB2" w:rsidP="003739BB">
            <w:pPr>
              <w:pStyle w:val="Normal1"/>
            </w:pPr>
            <w:r>
              <w:t>Jusqu’au distributeur final, la carcasse et les pièces de découpe qui en résultent sont accompagnées d’une étiquette qui précise au minimum :</w:t>
            </w:r>
          </w:p>
          <w:p w:rsidR="00BA1CA0" w:rsidRDefault="00840CB2">
            <w:pPr>
              <w:pStyle w:val="Normal1"/>
              <w:spacing w:after="280" w:afterAutospacing="1"/>
            </w:pPr>
            <w:r>
              <w:t>-le nom de l’appellation ;</w:t>
            </w:r>
          </w:p>
          <w:p w:rsidR="00BA1CA0" w:rsidRDefault="00840CB2">
            <w:pPr>
              <w:pStyle w:val="Normal1"/>
              <w:spacing w:after="280" w:afterAutospacing="1"/>
            </w:pPr>
            <w:r>
              <w:rPr>
                <w:strike/>
              </w:rPr>
              <w:lastRenderedPageBreak/>
              <w:t>-</w:t>
            </w:r>
            <w:r>
              <w:t xml:space="preserve">le logo AOP de l’Union européenne et la mention « appellation d’origine </w:t>
            </w:r>
            <w:r>
              <w:t xml:space="preserve">protégée » </w:t>
            </w:r>
          </w:p>
          <w:p w:rsidR="00BA1CA0" w:rsidRDefault="00840CB2">
            <w:pPr>
              <w:pStyle w:val="Normal1"/>
              <w:spacing w:after="280" w:afterAutospacing="1"/>
            </w:pPr>
            <w:r>
              <w:t>-le nom de l’éleveur ;</w:t>
            </w:r>
          </w:p>
          <w:p w:rsidR="00BA1CA0" w:rsidRDefault="00840CB2">
            <w:pPr>
              <w:pStyle w:val="Normal1"/>
              <w:spacing w:after="280" w:afterAutospacing="1"/>
            </w:pPr>
            <w:r>
              <w:t>-le numéro de l’élevage ;</w:t>
            </w:r>
          </w:p>
          <w:p w:rsidR="00BA1CA0" w:rsidRDefault="00840CB2">
            <w:pPr>
              <w:pStyle w:val="Normal1"/>
              <w:spacing w:after="280" w:afterAutospacing="1"/>
            </w:pPr>
            <w:r>
              <w:t>-le numéronational d’identification de l’agneau ;</w:t>
            </w:r>
          </w:p>
          <w:p w:rsidR="00BA1CA0" w:rsidRDefault="00840CB2">
            <w:pPr>
              <w:pStyle w:val="Normal1"/>
              <w:spacing w:after="280" w:afterAutospacing="1"/>
            </w:pPr>
            <w:r>
              <w:t>-la date d’abattage</w:t>
            </w:r>
          </w:p>
          <w:p w:rsidR="00BA1CA0" w:rsidRDefault="00BA1CA0">
            <w:pPr>
              <w:pStyle w:val="Normal1"/>
              <w:spacing w:after="280" w:afterAutospacing="1"/>
            </w:pPr>
          </w:p>
        </w:tc>
      </w:tr>
    </w:tbl>
    <w:p w:rsidR="1E921E5A" w:rsidRDefault="00840CB2" w:rsidP="00E41304">
      <w:pPr>
        <w:pStyle w:val="Heading11"/>
        <w:ind w:left="450" w:hanging="450"/>
        <w:rPr>
          <w:color w:val="000000"/>
        </w:rPr>
      </w:pPr>
      <w:r>
        <w:lastRenderedPageBreak/>
        <w:t>Description succincte de l’aire géographique</w:t>
      </w:r>
    </w:p>
    <w:tbl>
      <w:tblPr>
        <w:tblStyle w:val="TableGrid0"/>
        <w:tblW w:w="0" w:type="auto"/>
        <w:tblInd w:w="340" w:type="dxa"/>
        <w:tblLayout w:type="fixed"/>
        <w:tblLook w:val="06A0" w:firstRow="1" w:lastRow="0" w:firstColumn="1" w:lastColumn="0" w:noHBand="1" w:noVBand="1"/>
      </w:tblPr>
      <w:tblGrid>
        <w:gridCol w:w="7410"/>
      </w:tblGrid>
      <w:tr w:rsidR="00BA1CA0" w:rsidTr="00E41304">
        <w:trPr>
          <w:trHeight w:val="300"/>
        </w:trPr>
        <w:tc>
          <w:tcPr>
            <w:tcW w:w="7410" w:type="dxa"/>
            <w:tcBorders>
              <w:top w:val="nil"/>
              <w:left w:val="nil"/>
              <w:bottom w:val="nil"/>
              <w:right w:val="nil"/>
            </w:tcBorders>
          </w:tcPr>
          <w:p w:rsidR="1C69198A" w:rsidRDefault="00840CB2" w:rsidP="003739BB">
            <w:pPr>
              <w:pStyle w:val="Normal1"/>
            </w:pPr>
          </w:p>
          <w:p w:rsidR="00BA1CA0" w:rsidRDefault="00840CB2">
            <w:pPr>
              <w:pStyle w:val="Normal1"/>
              <w:spacing w:after="280" w:afterAutospacing="1"/>
            </w:pPr>
            <w:r>
              <w:t>L’aire géographique centrée autour des marais salés de la baie de Somme et de</w:t>
            </w:r>
            <w:r>
              <w:t xml:space="preserve"> la baie d'Authie, et au sein de laquelle se déroulent la naissance, l'élevage et l'abattage des agneaux, est composée des communes des départements du Pas-de-Calais et de la Somme suivants</w:t>
            </w:r>
          </w:p>
          <w:p w:rsidR="00BA1CA0" w:rsidRDefault="00840CB2">
            <w:pPr>
              <w:pStyle w:val="Normal1"/>
              <w:spacing w:after="280" w:afterAutospacing="1"/>
            </w:pPr>
            <w:r>
              <w:rPr>
                <w:u w:val="single"/>
              </w:rPr>
              <w:t xml:space="preserve">Du département du Pas-de-Calais </w:t>
            </w:r>
            <w:r>
              <w:t>:</w:t>
            </w:r>
          </w:p>
          <w:p w:rsidR="00BA1CA0" w:rsidRDefault="00840CB2">
            <w:pPr>
              <w:pStyle w:val="Normal1"/>
              <w:spacing w:after="280" w:afterAutospacing="1"/>
            </w:pPr>
            <w:proofErr w:type="gramStart"/>
            <w:r>
              <w:t>Airon-Notre-Dame, Airon-Saint-Va</w:t>
            </w:r>
            <w:r>
              <w:t>ast, Aix-en-Issart, Aubin-Saint-Vaast, Avondance, Azincourt, Beaumerie-Saint-Martin, Beaurainville, Berck, Boisjean, Boubers-lès-Hesmond, Bouin-Plumoison, Brévillers, Brimeux, Buire-le-Sec, Campagne-lès-Hesdin, Campigneulles-les-Grandes, Campigneulles-les-</w:t>
            </w:r>
            <w:r>
              <w:t>Petites, Canlers, Capelle-lès-Hesdin, Caumont, Cavron-Saint-Martin, Chériennes, Colline-Beaumont, Conchil-le-Temple, Contes, Coupelle-Neuve, Créquy, Douriez, Écuires, Embry, Fontaine-l'Étalon, Fressin, Fruges, Gennes-Ivergny, Gouy-Saint-André, Grigny, Grof</w:t>
            </w:r>
            <w:r>
              <w:t>fliers, Guigny, Guisy, Hesdin-la-Forêt, Hesmond, Humbert, La Loge, La Madelaine-sous-Montreuil, Labroye, Le Quesnoy-en-Artois, Lebiez, Lépine, Lespinoy, Loison-sur-Créquoise, Maintenay, Marant, Marconnelle, Marenla, Maresquel-Ecquemicourt, Marles-sur-Canch</w:t>
            </w:r>
            <w:r>
              <w:t>e, Montreuil-sur-Mer, Mouriez, Nempont-Saint-Firmin, Neuville-sous-Montreuil, Offin, Planques, Rang-du-Fliers, Raye-sur-Authie, Regnauville, Rimboval, Roussent, Royon, Ruisseauville, Sains-lès-Fressin, Saint-Aubin, Saint-Denœux, Saint-Georges, Saint-Rémy-a</w:t>
            </w:r>
            <w:r>
              <w:t>u-Bois, Saulchoy, Sempy, Sorrus, Tigny-Noyelle, Tollent, Torcy, Tortefontaine, Tramecourt, Vacqueriette-Erquières, Verton, Waben, Wailly-Beaucamp, Wambercourt et Wamin.</w:t>
            </w:r>
            <w:proofErr w:type="gramEnd"/>
          </w:p>
          <w:p w:rsidR="00BA1CA0" w:rsidRDefault="00BA1CA0">
            <w:pPr>
              <w:pStyle w:val="Normal1"/>
              <w:spacing w:after="280" w:afterAutospacing="1"/>
            </w:pPr>
          </w:p>
          <w:p w:rsidR="00BA1CA0" w:rsidRDefault="00840CB2">
            <w:pPr>
              <w:pStyle w:val="Normal1"/>
              <w:spacing w:after="280" w:afterAutospacing="1"/>
            </w:pPr>
            <w:r>
              <w:rPr>
                <w:u w:val="single"/>
              </w:rPr>
              <w:t>Du département de la Somme :</w:t>
            </w:r>
          </w:p>
          <w:p w:rsidR="00BA1CA0" w:rsidRDefault="00840CB2">
            <w:pPr>
              <w:pStyle w:val="Normal1"/>
              <w:spacing w:after="280" w:afterAutospacing="1"/>
            </w:pPr>
            <w:proofErr w:type="gramStart"/>
            <w:r>
              <w:rPr>
                <w:color w:val="000000"/>
              </w:rPr>
              <w:t>Abbeville, Acheux-en-Vimeu, Agenvillers, Ailly-le-Haut-Cl</w:t>
            </w:r>
            <w:r>
              <w:rPr>
                <w:color w:val="000000"/>
              </w:rPr>
              <w:t xml:space="preserve">ocher, Allenay, Argoules, Arrest, Arry, Ault, Beaumetz, Béhen, Bellancourt, Bernay-en-Ponthieu, Béthencourt-sur-Mer, Boismont, Boufflers, </w:t>
            </w:r>
            <w:r>
              <w:rPr>
                <w:color w:val="000000"/>
              </w:rPr>
              <w:lastRenderedPageBreak/>
              <w:t>Bourseville, Brailly-Cornehotte, Bray-lès-Mareuil, Brucamps, Brutelles, Buigny-l'Abbé, Buigny-Saint-Maclou, Bussus-lès</w:t>
            </w:r>
            <w:r>
              <w:rPr>
                <w:color w:val="000000"/>
              </w:rPr>
              <w:t>-Yaucourt, Cahon, Cambron, Canchy, Caours, Cayeux-sur-Mer, Chépy, Cocquerel, Conteville, Coulonvillers, Cramont, Crécy-en-Ponthieu, Domart-en-Ponthieu, Dominois, Domléger-Longvillers, Dompierre-sur-Authie, Domqueur, Domvast, Drucat, Eaucourt-sur-Somme, Épa</w:t>
            </w:r>
            <w:r>
              <w:rPr>
                <w:color w:val="000000"/>
              </w:rPr>
              <w:t>gne-Épagnette, Ercourt, Ergnies, Érondelle, Estrébœuf, Estrées-lès-Crécy, Favières, Feuquières-en-Vimeu, Fontaine-sur-Maye, Forest-l'Abbaye, Forest-Montiers, Fort-Mahon-Plage, Francières, Franleu, Franqueville, Fransu, Fressenneville, Friaucourt, Friville-</w:t>
            </w:r>
            <w:r>
              <w:rPr>
                <w:color w:val="000000"/>
              </w:rPr>
              <w:t>Escarbotin, Froyelles, Gapennes, Gorenflos, Grand-Laviers, Gueschart, Hautvillers-Ouville, Hiermont, Huchenneville, Lamotte-Buleux, Lanchères, Le Boisle, Le Crotoy, Le Titre, Ligescourt, Machiel, Machy, Maison-Ponthieu, Maison-Roland, Mareuil-Caubert, Méne</w:t>
            </w:r>
            <w:r>
              <w:rPr>
                <w:color w:val="000000"/>
              </w:rPr>
              <w:t>slies, Mesnil-Domqueur, Miannay, Millencourt-en-Ponthieu, Mons-Boubert, Moyenneville, Nampont, Neufmoulin, Neuilly-le-Dien, Neuilly-l'Hôpital, Nibas, Nouvion, Noyelles-en-Chaussée, Noyelles-sur-Mer, Ochancourt, Oneux, Pendé, Ponches-Estruval, Ponthoile, Po</w:t>
            </w:r>
            <w:r>
              <w:rPr>
                <w:color w:val="000000"/>
              </w:rPr>
              <w:t>nt-Remy, Port-le-Grand, Quend, Quesnoy-le-Montant, Regnière-Écluse, Ribeaucourt, Rue, Saigneville, Sailly-Flibeaucourt, Saint-Blimont, Saint-Quentin-en-Tourmont, Saint-Quentin-la-Motte-Croix-au-Bailly, Saint-Riquier, Saint-Valery-sur-Somme, Surcamps, Tœufl</w:t>
            </w:r>
            <w:r>
              <w:rPr>
                <w:color w:val="000000"/>
              </w:rPr>
              <w:t>es, Tully, Valines, Vauchelles-lès-Domart, Vauchelles-les-Quesnoy, Vaudricourt, Vercourt, Villers-sous-Ailly, Villers-sur-Authie, Vironchaux, Vitz-sur-Authie, Vron, Woignarue, Woincourt, Yonval, Yvrench, Yvrencheux et Yzengremer.</w:t>
            </w:r>
            <w:proofErr w:type="gramEnd"/>
          </w:p>
          <w:p w:rsidR="00BA1CA0" w:rsidRDefault="00BA1CA0">
            <w:pPr>
              <w:pStyle w:val="Normal1"/>
              <w:spacing w:after="280" w:afterAutospacing="1"/>
            </w:pPr>
          </w:p>
        </w:tc>
      </w:tr>
    </w:tbl>
    <w:p w:rsidR="5C3E2BC7" w:rsidRDefault="00840CB2" w:rsidP="3DFDAB3A">
      <w:pPr>
        <w:pStyle w:val="Heading11"/>
        <w:ind w:left="450" w:hanging="450"/>
        <w:rPr>
          <w:color w:val="000000"/>
        </w:rPr>
      </w:pPr>
      <w:r>
        <w:lastRenderedPageBreak/>
        <w:t xml:space="preserve">Lien avec l’aire </w:t>
      </w:r>
      <w:r>
        <w:t>géographique</w:t>
      </w:r>
    </w:p>
    <w:p w:rsidR="73986284" w:rsidRPr="0097257E" w:rsidRDefault="00840CB2" w:rsidP="3DFDAB3A">
      <w:pPr>
        <w:pStyle w:val="Normal1"/>
        <w:ind w:left="450"/>
        <w:jc w:val="left"/>
        <w:rPr>
          <w:b/>
          <w:bCs/>
        </w:rPr>
      </w:pPr>
      <w:r w:rsidRPr="3DFDAB3A">
        <w:rPr>
          <w:b/>
          <w:bCs/>
        </w:rPr>
        <w:t>Résumé du lien</w:t>
      </w:r>
    </w:p>
    <w:tbl>
      <w:tblPr>
        <w:tblStyle w:val="TableGrid0"/>
        <w:tblW w:w="0" w:type="auto"/>
        <w:tblInd w:w="340" w:type="dxa"/>
        <w:tblBorders>
          <w:top w:val="nil"/>
          <w:left w:val="nil"/>
          <w:bottom w:val="nil"/>
          <w:right w:val="nil"/>
          <w:insideH w:val="nil"/>
          <w:insideV w:val="nil"/>
        </w:tblBorders>
        <w:tblLayout w:type="fixed"/>
        <w:tblLook w:val="06A0" w:firstRow="1" w:lastRow="0" w:firstColumn="1" w:lastColumn="0" w:noHBand="1" w:noVBand="1"/>
      </w:tblPr>
      <w:tblGrid>
        <w:gridCol w:w="8130"/>
      </w:tblGrid>
      <w:tr w:rsidR="00BA1CA0" w:rsidTr="003739BB">
        <w:trPr>
          <w:trHeight w:val="300"/>
        </w:trPr>
        <w:tc>
          <w:tcPr>
            <w:tcW w:w="8130" w:type="dxa"/>
          </w:tcPr>
          <w:p w:rsidR="632A0075" w:rsidRDefault="00840CB2" w:rsidP="003739BB">
            <w:pPr>
              <w:pStyle w:val="Normal1"/>
              <w:ind w:left="-90"/>
            </w:pPr>
            <w:r>
              <w:rPr>
                <w:u w:val="single"/>
              </w:rPr>
              <w:t>Spécificités de l’aire géographique:</w:t>
            </w:r>
          </w:p>
          <w:p w:rsidR="00BA1CA0" w:rsidRDefault="00840CB2">
            <w:pPr>
              <w:pStyle w:val="Normal1"/>
              <w:spacing w:after="280" w:afterAutospacing="1"/>
            </w:pPr>
            <w:r>
              <w:t xml:space="preserve">Les animaux destinés à la production de l'appellation d'origine «Prés-salés de la baie de Somme» sont élevés sur un territoire en équilibre entre la mer et la terre: le marais salé appelé </w:t>
            </w:r>
            <w:r>
              <w:t>localement «mollières», ainsi que sur le territoire des communes limitrophes qui forment la plaine maritime picarde. Les marais salés, dont le sol est formé d’une vase marine appelée tangue, sont recouverts par la mer au moins 50 jours par an, ce qui entra</w:t>
            </w:r>
            <w:r>
              <w:t>îne le développement d’une végétation halophyte (puccinellia maritima, hali</w:t>
            </w:r>
            <w:r>
              <w:footnoteRef/>
            </w:r>
            <w:r>
              <w:t xml:space="preserve">mione portulacoïdes, triglochin maritima, …) appréciée des ovins. Les mollières sont drainées par un réseau de chenaux naturels et erratiques qui constituent autant d’obstacles au </w:t>
            </w:r>
            <w:r>
              <w:t>déplacement des ovins. Au-delà des mollières, les ovins séjournent pendant les submersions des marais salés et pendant l’hiver au sein de la plaine maritime picarde constituée de polders et de formation dunaires.</w:t>
            </w:r>
          </w:p>
          <w:p w:rsidR="00BA1CA0" w:rsidRDefault="00840CB2">
            <w:pPr>
              <w:pStyle w:val="Normal1"/>
              <w:spacing w:after="280" w:afterAutospacing="1"/>
            </w:pPr>
            <w:r>
              <w:t>L’impossibilité de poser des clôtures péren</w:t>
            </w:r>
            <w:r>
              <w:t xml:space="preserve">nes due au caractère public des mollières et à leurs submersions régulières, la pratique de l’estive due à l’éloignement des bergeries et les risques d’enlisements liés aux chenaux ont maintenu la gestion </w:t>
            </w:r>
            <w:r>
              <w:lastRenderedPageBreak/>
              <w:t>pastorale collective des troupeaux et la présence d</w:t>
            </w:r>
            <w:r>
              <w:t xml:space="preserve">e bergers pour les conduire. Les difficultés de déplacement sur les terrains meubles et parcourus de chenaux ont aussi conduit les éleveurs d’une part à sélectionner des souches de brebis adaptés à la marche et pourvues d’excellentes qualités maternelles, </w:t>
            </w:r>
            <w:r>
              <w:t>et d’autre part à mettre sur les mollières des agneaux suffisamment âgés pour affronter les contraintes du milieu.</w:t>
            </w:r>
          </w:p>
          <w:p w:rsidR="00BA1CA0" w:rsidRDefault="00840CB2">
            <w:pPr>
              <w:pStyle w:val="Normal1"/>
              <w:spacing w:after="280" w:afterAutospacing="1"/>
            </w:pPr>
            <w:r>
              <w:t>La maîtrise et l’exploitation par les éleveurs de prairies indispensables pour abriter et nourrir les animaux lorsque les marais salés sont s</w:t>
            </w:r>
            <w:r>
              <w:t>ubmergés par les marées de vives-eaux, se sont développées et organisées tout autour de la baie.</w:t>
            </w:r>
          </w:p>
          <w:p w:rsidR="00BA1CA0" w:rsidRDefault="00840CB2">
            <w:pPr>
              <w:pStyle w:val="Normal1"/>
              <w:spacing w:after="280" w:afterAutospacing="1"/>
            </w:pPr>
            <w:r>
              <w:t xml:space="preserve">Par ailleurs, face à l’hétérogénéité naturelle de croissance des individus au sein du troupeau qui conduit à la coexistence d’agneaux au développement précoce </w:t>
            </w:r>
            <w:r>
              <w:t>avec d’autres plus tardifs, les éleveurs ont développé pour ces agneaux un savoir-faire de finition adapté qui se déroule en bergeries.</w:t>
            </w:r>
          </w:p>
          <w:p w:rsidR="00BA1CA0" w:rsidRDefault="00840CB2">
            <w:pPr>
              <w:pStyle w:val="Normal1"/>
              <w:spacing w:after="280" w:afterAutospacing="1"/>
            </w:pPr>
            <w:r>
              <w:t xml:space="preserve">Cet élevage particulier, à l’occasion des relations locales entre éleveurs, chevillards et abatteurs, a débouché sur le </w:t>
            </w:r>
            <w:r>
              <w:t>choix constant d’abattoirs où les moyens et les savoir-faire d’abattage ovin se sont maintenus. Les savoir-faire spécifiques d’abattage se traduisent notamment par un temps d’attente court dans des conditions confortables entre l’arrivée à l’abattoir et le</w:t>
            </w:r>
            <w:r>
              <w:t xml:space="preserve"> sacrifice, un abattage, dépeçage et éviscération particulièrement soigneux qui préservent le gras de couverture et interdit tout souillage de la carcasse. Les conditions de ressuage et de maturation sont aussi encadrées. C’est à l’issue de ces opérations </w:t>
            </w:r>
            <w:r>
              <w:t>que les producteurs jugent de la conformité des carcasses aux caractéristiques de l’appella</w:t>
            </w:r>
            <w:r>
              <w:footnoteRef/>
            </w:r>
            <w:r>
              <w:t>tion d’origine «Prés-salés de la baie de Somme» notamment à partir de la qualité du gras et de l’aspect des carcasses.</w:t>
            </w:r>
          </w:p>
          <w:p w:rsidR="00BA1CA0" w:rsidRDefault="00840CB2">
            <w:pPr>
              <w:pStyle w:val="Normal1"/>
              <w:spacing w:after="280" w:afterAutospacing="1"/>
            </w:pPr>
            <w:r>
              <w:t>L’importance locale de cet élevage se traduit</w:t>
            </w:r>
            <w:r>
              <w:t xml:space="preserve"> aussi par le fait que l’agneau «Prés-salés de la baie de Somme» se trouve au centre de nombreuses activités touristiques et gastronomiques. C’est ainsi que lors de la fête du mouton, le premier </w:t>
            </w:r>
            <w:proofErr w:type="gramStart"/>
            <w:r>
              <w:t>week-end</w:t>
            </w:r>
            <w:proofErr w:type="gramEnd"/>
            <w:r>
              <w:t xml:space="preserve"> d’octobre, plusieurs milliers de visiteurs viennent </w:t>
            </w:r>
            <w:r>
              <w:t>participer à des animations autour de l’élevage: dégustation, démonstration de chiens de berger, défilé des troupeaux…</w:t>
            </w:r>
          </w:p>
          <w:p w:rsidR="00BA1CA0" w:rsidRDefault="00840CB2">
            <w:pPr>
              <w:pStyle w:val="Normal1"/>
              <w:spacing w:after="280" w:afterAutospacing="1"/>
            </w:pPr>
            <w:r>
              <w:rPr>
                <w:u w:val="single"/>
              </w:rPr>
              <w:t>Spécificités du produit:</w:t>
            </w:r>
          </w:p>
          <w:p w:rsidR="00BA1CA0" w:rsidRDefault="00840CB2">
            <w:pPr>
              <w:pStyle w:val="Normal1"/>
              <w:spacing w:after="280" w:afterAutospacing="1"/>
            </w:pPr>
            <w:r>
              <w:t xml:space="preserve">Le terme pré-salé désigne un mouton engraissé dans des pâturages côtiers périodiquement inondés par la mer. Les </w:t>
            </w:r>
            <w:r>
              <w:t>agneaux destinés à l’appellation d’origine «Prés-salés de la baie de Somme» sont relativement âgés (de 135 jours à 1 an). La majorité des individus sont proposés à la consommation entre juillet et novembre. Les agneaux sont nés sur les exploitations de l’a</w:t>
            </w:r>
            <w:r>
              <w:t>ire géographique de races croisées, adaptées au milieu et dont les mères présentent des qualités maternelles et laitières affirmées. Les carcasses se distinguent par une conformation présentant «un profil rectiligne à subconcaves» et «un développement musc</w:t>
            </w:r>
            <w:r>
              <w:t xml:space="preserve">ulaire moyen à important». Elles présentent un état d’engraissement «cirées à couvertes» et un gras externe et interne ferme, de couleur blanc à blanc crème. La viande se distingue par sa couleur rosée, la longueur des fibres et l’implantation de persillé </w:t>
            </w:r>
            <w:r>
              <w:t xml:space="preserve">(gras intra musculaire). </w:t>
            </w:r>
            <w:r>
              <w:lastRenderedPageBreak/>
              <w:t>Elle offre à la cuisson une jutosité élevée et soutenue tout au long de la mastication ainsi que des arômes intenses et persistants en bouche</w:t>
            </w:r>
          </w:p>
          <w:p w:rsidR="00BA1CA0" w:rsidRDefault="00840CB2">
            <w:pPr>
              <w:pStyle w:val="Normal1"/>
              <w:spacing w:after="280" w:afterAutospacing="1"/>
            </w:pPr>
            <w:r>
              <w:rPr>
                <w:u w:val="single"/>
              </w:rPr>
              <w:t xml:space="preserve">Lien causal entre l’aire géographique et la qualité ou les caractéristiques du produit : </w:t>
            </w:r>
          </w:p>
          <w:p w:rsidR="00BA1CA0" w:rsidRDefault="00840CB2">
            <w:pPr>
              <w:pStyle w:val="Normal1"/>
              <w:spacing w:after="280" w:afterAutospacing="1"/>
            </w:pPr>
            <w:proofErr w:type="gramStart"/>
            <w:r>
              <w:t>Le lien entre les caractéristiques de la viande «Prés-salés de la baie de Somme» présentées ci-dessus et son terroir passe principalement par la consommation de la végétation particulière des marais salés, notamment la puccinellie, et par l’exercice physi</w:t>
            </w:r>
            <w:r>
              <w:t>que auquel se livrent les ovins pour se la procurer dans ce milieu souvent hostile (risques d’enlisement dans les chenaux profonds, absence de protection contre les embruns et contre le soleil et la chaleur en été).</w:t>
            </w:r>
            <w:proofErr w:type="gramEnd"/>
          </w:p>
          <w:p w:rsidR="00BA1CA0" w:rsidRDefault="00840CB2">
            <w:pPr>
              <w:pStyle w:val="Normal1"/>
              <w:spacing w:after="280" w:afterAutospacing="1"/>
            </w:pPr>
            <w:r>
              <w:t>Le lien est renforcé et maintenu signifi</w:t>
            </w:r>
            <w:r>
              <w:t>cativement par les pratiques pastorales locales et la maîtrise des conditions spécifiques d’abattage. Parmi les savoir-faire locaux mobilisés pour l’obtention de l’appellation d’origine «Prés-salés de la baie de Somme», la sélection et l’utilisation d’anim</w:t>
            </w:r>
            <w:r>
              <w:t xml:space="preserve">aux adaptés à ces conditions de pâturage difficiles, de par leur croissance musculaire lente et de par leurs qualités maternelles, </w:t>
            </w:r>
            <w:proofErr w:type="gramStart"/>
            <w:r>
              <w:t>sont</w:t>
            </w:r>
            <w:proofErr w:type="gramEnd"/>
            <w:r>
              <w:t xml:space="preserve"> déterminantes.</w:t>
            </w:r>
          </w:p>
          <w:p w:rsidR="00BA1CA0" w:rsidRDefault="00840CB2">
            <w:pPr>
              <w:pStyle w:val="Normal1"/>
              <w:spacing w:after="280" w:afterAutospacing="1"/>
            </w:pPr>
            <w:r>
              <w:t>D’autre part, les agneaux sont conduits au marais salé après la fin de l’hiver et vont y séjourner jour e</w:t>
            </w:r>
            <w:r>
              <w:t>t nuit jusqu’à leur abattage ou leur éventuelle finition sans autre interruption que leurs retraits durant les submersions. Ainsi s’est forgée une tradition pastorale utilisant des bergers d’estive, familiers du marais salé qui malgré les dangers, font pât</w:t>
            </w:r>
            <w:r>
              <w:t xml:space="preserve">urer les animaux, dans un continuel déplacement, afin de respecter les équilibres naturels à l’origine de ses ressources. </w:t>
            </w:r>
            <w:proofErr w:type="gramStart"/>
            <w:r>
              <w:t>La longue période de pâturage qui résulte de ces pratiques (75 jours minimum), l’existence de parcelles de repli utilisées pendant les</w:t>
            </w:r>
            <w:r>
              <w:t xml:space="preserve"> submersion, l’adaptation de la période de production des agneaux à celle de la végétation des mollières, la capacité des éleveurs à reconnaître les individus qui auront besoin d’une finition pour répondre aux caractéristiques «Prés-salés de la baie de Som</w:t>
            </w:r>
            <w:r>
              <w:t>me», aboutit à des agneaux lourds, mais peu rebondis, dont la couleur des muscles est d’un rosé soutenu tandis que le gras est ferme et blanc.</w:t>
            </w:r>
            <w:proofErr w:type="gramEnd"/>
          </w:p>
          <w:p w:rsidR="00BA1CA0" w:rsidRDefault="00840CB2">
            <w:pPr>
              <w:pStyle w:val="Normal1"/>
              <w:spacing w:after="280" w:afterAutospacing="1"/>
            </w:pPr>
            <w:r>
              <w:t>La présence de cet élevage ovin a permis de développer et maintenir dans les abattoirs de l'aire géographique des</w:t>
            </w:r>
            <w:r>
              <w:t xml:space="preserve"> savoir-faire spécifiques respectueux de la qualité de cette matière première, comme la préservation du gras de couverture et l’interdiction du douchage tout en facilitant le contrôle de la conformité des carcasses par les bouchers et éleveurs locaux. Leur</w:t>
            </w:r>
            <w:r>
              <w:t xml:space="preserve"> emplacement à une distance parcourable en moins d’une heure permet aussi, en minimisant le stress du transport, de conserver les qualités organoleptiques acquises dans les élevages. Cette qualité est à l’origine de la notoriété de la viande «Prés-salés de</w:t>
            </w:r>
            <w:r>
              <w:t xml:space="preserve"> la baie de Somme» qui est reconnue par un prix de vente très supérieur à l’agneau standard (entre 50 et 100 % selon les périodes).</w:t>
            </w:r>
          </w:p>
          <w:p w:rsidR="39B093FC" w:rsidRPr="00DB50EE" w:rsidRDefault="00840CB2">
            <w:pPr>
              <w:pStyle w:val="Normal1"/>
              <w:spacing w:after="280" w:afterAutospacing="1"/>
            </w:pPr>
          </w:p>
        </w:tc>
      </w:tr>
    </w:tbl>
    <w:p w:rsidR="005F5947" w:rsidRPr="00132807" w:rsidRDefault="00840CB2" w:rsidP="0097257E">
      <w:pPr>
        <w:pStyle w:val="Normal1"/>
        <w:jc w:val="left"/>
        <w:rPr>
          <w:color w:val="000000"/>
        </w:rPr>
      </w:pPr>
      <w:r>
        <w:rPr>
          <w:rFonts w:ascii="inherit" w:hAnsi="inherit"/>
          <w:lang w:val="en-IE" w:eastAsia="en-IE"/>
        </w:rPr>
        <w:lastRenderedPageBreak/>
        <w:pict>
          <v:rect id="_x0000_i1026" style="width:101.5pt;height:1pt" o:hrpct="0" o:hrstd="t" o:hrnoshade="t" o:hr="t" fillcolor="black" stroked="f"/>
        </w:pict>
      </w:r>
    </w:p>
    <w:p w:rsidR="4E6EB726" w:rsidRPr="0097257E" w:rsidRDefault="00840CB2" w:rsidP="0097257E">
      <w:pPr>
        <w:pStyle w:val="Normal1"/>
        <w:jc w:val="left"/>
        <w:rPr>
          <w:b/>
          <w:bCs/>
        </w:rPr>
      </w:pPr>
      <w:r w:rsidRPr="0097257E">
        <w:rPr>
          <w:b/>
          <w:bCs/>
        </w:rPr>
        <w:t>Référence électronique (URL) à la publication du cahier des charges</w:t>
      </w:r>
    </w:p>
    <w:p w:rsidR="2840FFB6" w:rsidRDefault="00840CB2" w:rsidP="0097257E">
      <w:pPr>
        <w:pStyle w:val="Normal1"/>
        <w:jc w:val="left"/>
      </w:pPr>
    </w:p>
    <w:sectPr w:rsidR="2840FFB6" w:rsidSect="00A90228">
      <w:headerReference w:type="default" r:id="rId10"/>
      <w:footerReference w:type="default" r:id="rId11"/>
      <w:headerReference w:type="first" r:id="rId12"/>
      <w:footerReference w:type="first" r:id="rId13"/>
      <w:type w:val="continuous"/>
      <w:pgSz w:w="11906" w:h="16838"/>
      <w:pgMar w:top="1020" w:right="1701" w:bottom="1020" w:left="1587" w:header="850" w:footer="107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840CB2">
      <w:pPr>
        <w:spacing w:after="0"/>
      </w:pPr>
      <w:r>
        <w:separator/>
      </w:r>
    </w:p>
  </w:endnote>
  <w:endnote w:type="continuationSeparator" w:id="0">
    <w:p w:rsidR="00000000" w:rsidRDefault="00840CB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529" w:rsidRDefault="00840CB2">
    <w:pPr>
      <w:pStyle w:val="Footer1"/>
      <w:jc w:val="center"/>
    </w:pPr>
  </w:p>
  <w:p w:rsidR="00472529" w:rsidRDefault="00840CB2" w:rsidP="1DDC2095">
    <w:pPr>
      <w:pStyle w:val="Footer1"/>
      <w:jc w:val="center"/>
      <w:rPr>
        <w:noProof/>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840CB2" w:rsidP="2840FFB6">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840CB2">
      <w:pPr>
        <w:spacing w:after="0"/>
      </w:pPr>
      <w:r>
        <w:separator/>
      </w:r>
    </w:p>
  </w:footnote>
  <w:footnote w:type="continuationSeparator" w:id="0">
    <w:p w:rsidR="00000000" w:rsidRDefault="00840CB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840CB2" w:rsidP="2840FFB6">
    <w:pPr>
      <w:pStyle w:val="Header1"/>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840CB2" w:rsidP="2840FFB6">
    <w:pPr>
      <w:pStyle w:val="Header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enumros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epuces5"/>
      <w:lvlText w:val=""/>
      <w:lvlJc w:val="left"/>
      <w:pPr>
        <w:tabs>
          <w:tab w:val="num" w:pos="1492"/>
        </w:tabs>
        <w:ind w:left="1492" w:hanging="360"/>
      </w:pPr>
      <w:rPr>
        <w:rFonts w:ascii="Symbol" w:hAnsi="Symbol" w:hint="default"/>
      </w:rPr>
    </w:lvl>
  </w:abstractNum>
  <w:abstractNum w:abstractNumId="2" w15:restartNumberingAfterBreak="0">
    <w:nsid w:val="08DE61A8"/>
    <w:multiLevelType w:val="hybridMultilevel"/>
    <w:tmpl w:val="686A40CA"/>
    <w:name w:val="LegalNumParListTemplate3"/>
    <w:lvl w:ilvl="0" w:tplc="E260FCFE">
      <w:start w:val="1"/>
      <w:numFmt w:val="decimal"/>
      <w:lvlText w:val="%1."/>
      <w:lvlJc w:val="left"/>
      <w:pPr>
        <w:tabs>
          <w:tab w:val="num" w:pos="476"/>
        </w:tabs>
        <w:ind w:left="476" w:hanging="476"/>
      </w:pPr>
    </w:lvl>
    <w:lvl w:ilvl="1" w:tplc="3B104894" w:tentative="1">
      <w:start w:val="1"/>
      <w:numFmt w:val="lowerLetter"/>
      <w:lvlText w:val="%2."/>
      <w:lvlJc w:val="left"/>
      <w:pPr>
        <w:ind w:left="1440" w:hanging="360"/>
      </w:pPr>
    </w:lvl>
    <w:lvl w:ilvl="2" w:tplc="A9AE2DBE" w:tentative="1">
      <w:start w:val="1"/>
      <w:numFmt w:val="lowerRoman"/>
      <w:lvlText w:val="%3."/>
      <w:lvlJc w:val="right"/>
      <w:pPr>
        <w:ind w:left="2160" w:hanging="180"/>
      </w:pPr>
    </w:lvl>
    <w:lvl w:ilvl="3" w:tplc="52C6F6BE" w:tentative="1">
      <w:start w:val="1"/>
      <w:numFmt w:val="decimal"/>
      <w:lvlText w:val="%4."/>
      <w:lvlJc w:val="left"/>
      <w:pPr>
        <w:ind w:left="2880" w:hanging="360"/>
      </w:pPr>
    </w:lvl>
    <w:lvl w:ilvl="4" w:tplc="7A349D16" w:tentative="1">
      <w:start w:val="1"/>
      <w:numFmt w:val="lowerLetter"/>
      <w:lvlText w:val="%5."/>
      <w:lvlJc w:val="left"/>
      <w:pPr>
        <w:ind w:left="3600" w:hanging="360"/>
      </w:pPr>
    </w:lvl>
    <w:lvl w:ilvl="5" w:tplc="C2B644A0" w:tentative="1">
      <w:start w:val="1"/>
      <w:numFmt w:val="lowerRoman"/>
      <w:lvlText w:val="%6."/>
      <w:lvlJc w:val="right"/>
      <w:pPr>
        <w:ind w:left="4320" w:hanging="180"/>
      </w:pPr>
    </w:lvl>
    <w:lvl w:ilvl="6" w:tplc="39A499B6" w:tentative="1">
      <w:start w:val="1"/>
      <w:numFmt w:val="decimal"/>
      <w:lvlText w:val="%7."/>
      <w:lvlJc w:val="left"/>
      <w:pPr>
        <w:ind w:left="5040" w:hanging="360"/>
      </w:pPr>
    </w:lvl>
    <w:lvl w:ilvl="7" w:tplc="6386A6DA" w:tentative="1">
      <w:start w:val="1"/>
      <w:numFmt w:val="lowerLetter"/>
      <w:lvlText w:val="%8."/>
      <w:lvlJc w:val="left"/>
      <w:pPr>
        <w:ind w:left="5760" w:hanging="360"/>
      </w:pPr>
    </w:lvl>
    <w:lvl w:ilvl="8" w:tplc="83F497D0" w:tentative="1">
      <w:start w:val="1"/>
      <w:numFmt w:val="lowerRoman"/>
      <w:lvlText w:val="%9."/>
      <w:lvlJc w:val="right"/>
      <w:pPr>
        <w:ind w:left="6480" w:hanging="180"/>
      </w:pPr>
    </w:lvl>
  </w:abstractNum>
  <w:abstractNum w:abstractNumId="3" w15:restartNumberingAfterBreak="0">
    <w:nsid w:val="18175D5C"/>
    <w:multiLevelType w:val="hybridMultilevel"/>
    <w:tmpl w:val="9CEED8C8"/>
    <w:lvl w:ilvl="0" w:tplc="0B889E8E">
      <w:start w:val="1"/>
      <w:numFmt w:val="bullet"/>
      <w:lvlText w:val="□"/>
      <w:lvlJc w:val="left"/>
      <w:pPr>
        <w:ind w:left="1080" w:hanging="360"/>
      </w:pPr>
      <w:rPr>
        <w:rFonts w:ascii="Courier New" w:hAnsi="Courier New" w:hint="default"/>
        <w:sz w:val="32"/>
        <w:szCs w:val="32"/>
      </w:rPr>
    </w:lvl>
    <w:lvl w:ilvl="1" w:tplc="4EAC9A00" w:tentative="1">
      <w:start w:val="1"/>
      <w:numFmt w:val="bullet"/>
      <w:lvlText w:val="o"/>
      <w:lvlJc w:val="left"/>
      <w:pPr>
        <w:ind w:left="1320" w:hanging="360"/>
      </w:pPr>
      <w:rPr>
        <w:rFonts w:ascii="Courier New" w:hAnsi="Courier New" w:cs="Courier New" w:hint="default"/>
      </w:rPr>
    </w:lvl>
    <w:lvl w:ilvl="2" w:tplc="8FC631AA" w:tentative="1">
      <w:start w:val="1"/>
      <w:numFmt w:val="bullet"/>
      <w:lvlText w:val=""/>
      <w:lvlJc w:val="left"/>
      <w:pPr>
        <w:ind w:left="2040" w:hanging="360"/>
      </w:pPr>
      <w:rPr>
        <w:rFonts w:ascii="Wingdings" w:hAnsi="Wingdings" w:hint="default"/>
      </w:rPr>
    </w:lvl>
    <w:lvl w:ilvl="3" w:tplc="9F167C0C" w:tentative="1">
      <w:start w:val="1"/>
      <w:numFmt w:val="bullet"/>
      <w:lvlText w:val=""/>
      <w:lvlJc w:val="left"/>
      <w:pPr>
        <w:ind w:left="2760" w:hanging="360"/>
      </w:pPr>
      <w:rPr>
        <w:rFonts w:ascii="Symbol" w:hAnsi="Symbol" w:hint="default"/>
      </w:rPr>
    </w:lvl>
    <w:lvl w:ilvl="4" w:tplc="7B18DF16" w:tentative="1">
      <w:start w:val="1"/>
      <w:numFmt w:val="bullet"/>
      <w:lvlText w:val="o"/>
      <w:lvlJc w:val="left"/>
      <w:pPr>
        <w:ind w:left="3480" w:hanging="360"/>
      </w:pPr>
      <w:rPr>
        <w:rFonts w:ascii="Courier New" w:hAnsi="Courier New" w:cs="Courier New" w:hint="default"/>
      </w:rPr>
    </w:lvl>
    <w:lvl w:ilvl="5" w:tplc="11DC7262" w:tentative="1">
      <w:start w:val="1"/>
      <w:numFmt w:val="bullet"/>
      <w:lvlText w:val=""/>
      <w:lvlJc w:val="left"/>
      <w:pPr>
        <w:ind w:left="4200" w:hanging="360"/>
      </w:pPr>
      <w:rPr>
        <w:rFonts w:ascii="Wingdings" w:hAnsi="Wingdings" w:hint="default"/>
      </w:rPr>
    </w:lvl>
    <w:lvl w:ilvl="6" w:tplc="AE02F38A" w:tentative="1">
      <w:start w:val="1"/>
      <w:numFmt w:val="bullet"/>
      <w:lvlText w:val=""/>
      <w:lvlJc w:val="left"/>
      <w:pPr>
        <w:ind w:left="4920" w:hanging="360"/>
      </w:pPr>
      <w:rPr>
        <w:rFonts w:ascii="Symbol" w:hAnsi="Symbol" w:hint="default"/>
      </w:rPr>
    </w:lvl>
    <w:lvl w:ilvl="7" w:tplc="98C083F8" w:tentative="1">
      <w:start w:val="1"/>
      <w:numFmt w:val="bullet"/>
      <w:lvlText w:val="o"/>
      <w:lvlJc w:val="left"/>
      <w:pPr>
        <w:ind w:left="5640" w:hanging="360"/>
      </w:pPr>
      <w:rPr>
        <w:rFonts w:ascii="Courier New" w:hAnsi="Courier New" w:cs="Courier New" w:hint="default"/>
      </w:rPr>
    </w:lvl>
    <w:lvl w:ilvl="8" w:tplc="51F6CC56" w:tentative="1">
      <w:start w:val="1"/>
      <w:numFmt w:val="bullet"/>
      <w:lvlText w:val=""/>
      <w:lvlJc w:val="left"/>
      <w:pPr>
        <w:ind w:left="6360" w:hanging="360"/>
      </w:pPr>
      <w:rPr>
        <w:rFonts w:ascii="Wingdings" w:hAnsi="Wingdings" w:hint="default"/>
      </w:rPr>
    </w:lvl>
  </w:abstractNum>
  <w:abstractNum w:abstractNumId="4" w15:restartNumberingAfterBreak="0">
    <w:nsid w:val="1B1530A4"/>
    <w:multiLevelType w:val="multilevel"/>
    <w:tmpl w:val="8CE23BCC"/>
    <w:lvl w:ilvl="0">
      <w:start w:val="1"/>
      <w:numFmt w:val="decimal"/>
      <w:pStyle w:val="Listenumro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F734306"/>
    <w:multiLevelType w:val="multilevel"/>
    <w:tmpl w:val="D5DE421E"/>
    <w:lvl w:ilvl="0">
      <w:start w:val="1"/>
      <w:numFmt w:val="decimal"/>
      <w:pStyle w:val="Titre1"/>
      <w:lvlText w:val="%1."/>
      <w:lvlJc w:val="left"/>
      <w:pPr>
        <w:tabs>
          <w:tab w:val="num" w:pos="480"/>
        </w:tabs>
        <w:ind w:left="480" w:hanging="480"/>
      </w:pPr>
    </w:lvl>
    <w:lvl w:ilvl="1">
      <w:start w:val="1"/>
      <w:numFmt w:val="decimal"/>
      <w:pStyle w:val="Titre2"/>
      <w:lvlText w:val="%1.%2."/>
      <w:lvlJc w:val="left"/>
      <w:pPr>
        <w:tabs>
          <w:tab w:val="num" w:pos="1200"/>
        </w:tabs>
        <w:ind w:left="1200" w:hanging="720"/>
      </w:pPr>
      <w:rPr>
        <w:i w:val="0"/>
        <w:iCs w:val="0"/>
      </w:rPr>
    </w:lvl>
    <w:lvl w:ilvl="2">
      <w:start w:val="1"/>
      <w:numFmt w:val="decimal"/>
      <w:pStyle w:val="Titre3"/>
      <w:lvlText w:val="%1.%2.%3."/>
      <w:lvlJc w:val="left"/>
      <w:pPr>
        <w:tabs>
          <w:tab w:val="num" w:pos="1920"/>
        </w:tabs>
        <w:ind w:left="1920" w:hanging="720"/>
      </w:pPr>
    </w:lvl>
    <w:lvl w:ilvl="3">
      <w:start w:val="1"/>
      <w:numFmt w:val="decimal"/>
      <w:pStyle w:val="Titre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22DD3599"/>
    <w:multiLevelType w:val="multilevel"/>
    <w:tmpl w:val="4EAA5BA6"/>
    <w:lvl w:ilvl="0">
      <w:start w:val="1"/>
      <w:numFmt w:val="decimal"/>
      <w:pStyle w:val="Listenumro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8" w15:restartNumberingAfterBreak="0">
    <w:nsid w:val="2CAB4527"/>
    <w:multiLevelType w:val="multilevel"/>
    <w:tmpl w:val="26C24C12"/>
    <w:lvl w:ilvl="0">
      <w:start w:val="1"/>
      <w:numFmt w:val="decimal"/>
      <w:pStyle w:val="Listenumro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D293CE3"/>
    <w:multiLevelType w:val="multilevel"/>
    <w:tmpl w:val="8D7C4D2A"/>
    <w:lvl w:ilvl="0">
      <w:start w:val="1"/>
      <w:numFmt w:val="decimal"/>
      <w:pStyle w:val="LegalNumPar"/>
      <w:lvlText w:val="%1."/>
      <w:lvlJc w:val="left"/>
      <w:pPr>
        <w:ind w:left="476" w:hanging="476"/>
      </w:pPr>
      <w:rPr>
        <w:rFonts w:hint="default"/>
      </w:rPr>
    </w:lvl>
    <w:lvl w:ilvl="1">
      <w:start w:val="1"/>
      <w:numFmt w:val="lowerLetter"/>
      <w:pStyle w:val="LegalNumPar2"/>
      <w:lvlText w:val="%2."/>
      <w:lvlJc w:val="left"/>
      <w:pPr>
        <w:ind w:left="953" w:hanging="477"/>
      </w:pPr>
      <w:rPr>
        <w:rFonts w:hint="default"/>
      </w:rPr>
    </w:lvl>
    <w:lvl w:ilvl="2">
      <w:start w:val="1"/>
      <w:numFmt w:val="lowerRoman"/>
      <w:pStyle w:val="LegalNumPar3"/>
      <w:lvlText w:val="%3."/>
      <w:lvlJc w:val="left"/>
      <w:pPr>
        <w:ind w:left="1429" w:hanging="476"/>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epuces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epuces"/>
      <w:lvlText w:val=""/>
      <w:lvlJc w:val="left"/>
      <w:pPr>
        <w:tabs>
          <w:tab w:val="num" w:pos="283"/>
        </w:tabs>
        <w:ind w:left="283" w:hanging="283"/>
      </w:pPr>
      <w:rPr>
        <w:rFonts w:ascii="Symbol" w:hAnsi="Symbol"/>
      </w:rPr>
    </w:lvl>
  </w:abstractNum>
  <w:abstractNum w:abstractNumId="14"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5" w15:restartNumberingAfterBreak="0">
    <w:nsid w:val="48836E44"/>
    <w:multiLevelType w:val="multilevel"/>
    <w:tmpl w:val="BE4C256A"/>
    <w:lvl w:ilvl="0">
      <w:start w:val="1"/>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7"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8"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9" w15:restartNumberingAfterBreak="0">
    <w:nsid w:val="620F2440"/>
    <w:multiLevelType w:val="singleLevel"/>
    <w:tmpl w:val="6860A420"/>
    <w:lvl w:ilvl="0">
      <w:start w:val="1"/>
      <w:numFmt w:val="bullet"/>
      <w:pStyle w:val="Listepuces3"/>
      <w:lvlText w:val=""/>
      <w:lvlJc w:val="left"/>
      <w:pPr>
        <w:tabs>
          <w:tab w:val="num" w:pos="1485"/>
        </w:tabs>
        <w:ind w:left="1485" w:hanging="283"/>
      </w:pPr>
      <w:rPr>
        <w:rFonts w:ascii="Symbol" w:hAnsi="Symbol"/>
      </w:rPr>
    </w:lvl>
  </w:abstractNum>
  <w:abstractNum w:abstractNumId="20" w15:restartNumberingAfterBreak="0">
    <w:nsid w:val="6908A257"/>
    <w:multiLevelType w:val="multilevel"/>
    <w:tmpl w:val="D4823730"/>
    <w:lvl w:ilvl="0">
      <w:start w:val="3"/>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DF118C0"/>
    <w:multiLevelType w:val="singleLevel"/>
    <w:tmpl w:val="B90C8B88"/>
    <w:lvl w:ilvl="0">
      <w:start w:val="1"/>
      <w:numFmt w:val="bullet"/>
      <w:pStyle w:val="Listepuces4"/>
      <w:lvlText w:val=""/>
      <w:lvlJc w:val="left"/>
      <w:pPr>
        <w:tabs>
          <w:tab w:val="num" w:pos="1485"/>
        </w:tabs>
        <w:ind w:left="1485" w:hanging="283"/>
      </w:pPr>
      <w:rPr>
        <w:rFonts w:ascii="Symbol" w:hAnsi="Symbol"/>
      </w:rPr>
    </w:lvl>
  </w:abstractNum>
  <w:abstractNum w:abstractNumId="22" w15:restartNumberingAfterBreak="0">
    <w:nsid w:val="722304D7"/>
    <w:multiLevelType w:val="multilevel"/>
    <w:tmpl w:val="9DE2758E"/>
    <w:lvl w:ilvl="0">
      <w:start w:val="1"/>
      <w:numFmt w:val="decimal"/>
      <w:pStyle w:val="Listenumro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C6B63E6"/>
    <w:multiLevelType w:val="singleLevel"/>
    <w:tmpl w:val="0292EEF0"/>
    <w:name w:val="LegalNumParListTemplate"/>
    <w:lvl w:ilvl="0">
      <w:start w:val="1"/>
      <w:numFmt w:val="decimal"/>
      <w:lvlText w:val="%1."/>
      <w:lvlJc w:val="left"/>
      <w:pPr>
        <w:tabs>
          <w:tab w:val="num" w:pos="476"/>
        </w:tabs>
        <w:ind w:left="476" w:hanging="476"/>
      </w:pPr>
    </w:lvl>
  </w:abstractNum>
  <w:abstractNum w:abstractNumId="24" w15:restartNumberingAfterBreak="0">
    <w:nsid w:val="7C6B63E7"/>
    <w:multiLevelType w:val="hybridMultilevel"/>
    <w:tmpl w:val="7C6B63E7"/>
    <w:lvl w:ilvl="0" w:tplc="31502C3A">
      <w:start w:val="1"/>
      <w:numFmt w:val="bullet"/>
      <w:lvlText w:val=""/>
      <w:lvlJc w:val="left"/>
      <w:pPr>
        <w:tabs>
          <w:tab w:val="num" w:pos="720"/>
        </w:tabs>
        <w:ind w:left="720" w:hanging="360"/>
      </w:pPr>
      <w:rPr>
        <w:rFonts w:ascii="Symbol" w:hAnsi="Symbol"/>
      </w:rPr>
    </w:lvl>
    <w:lvl w:ilvl="1" w:tplc="194E2436">
      <w:start w:val="1"/>
      <w:numFmt w:val="bullet"/>
      <w:lvlText w:val="o"/>
      <w:lvlJc w:val="left"/>
      <w:pPr>
        <w:tabs>
          <w:tab w:val="num" w:pos="1440"/>
        </w:tabs>
        <w:ind w:left="1440" w:hanging="360"/>
      </w:pPr>
      <w:rPr>
        <w:rFonts w:ascii="Courier New" w:hAnsi="Courier New"/>
      </w:rPr>
    </w:lvl>
    <w:lvl w:ilvl="2" w:tplc="938266D2">
      <w:start w:val="1"/>
      <w:numFmt w:val="bullet"/>
      <w:lvlText w:val=""/>
      <w:lvlJc w:val="left"/>
      <w:pPr>
        <w:tabs>
          <w:tab w:val="num" w:pos="2160"/>
        </w:tabs>
        <w:ind w:left="2160" w:hanging="360"/>
      </w:pPr>
      <w:rPr>
        <w:rFonts w:ascii="Wingdings" w:hAnsi="Wingdings"/>
      </w:rPr>
    </w:lvl>
    <w:lvl w:ilvl="3" w:tplc="18C0EA54">
      <w:start w:val="1"/>
      <w:numFmt w:val="bullet"/>
      <w:lvlText w:val=""/>
      <w:lvlJc w:val="left"/>
      <w:pPr>
        <w:tabs>
          <w:tab w:val="num" w:pos="2880"/>
        </w:tabs>
        <w:ind w:left="2880" w:hanging="360"/>
      </w:pPr>
      <w:rPr>
        <w:rFonts w:ascii="Symbol" w:hAnsi="Symbol"/>
      </w:rPr>
    </w:lvl>
    <w:lvl w:ilvl="4" w:tplc="4532F1C2">
      <w:start w:val="1"/>
      <w:numFmt w:val="bullet"/>
      <w:lvlText w:val="o"/>
      <w:lvlJc w:val="left"/>
      <w:pPr>
        <w:tabs>
          <w:tab w:val="num" w:pos="3600"/>
        </w:tabs>
        <w:ind w:left="3600" w:hanging="360"/>
      </w:pPr>
      <w:rPr>
        <w:rFonts w:ascii="Courier New" w:hAnsi="Courier New"/>
      </w:rPr>
    </w:lvl>
    <w:lvl w:ilvl="5" w:tplc="287A3C7A">
      <w:start w:val="1"/>
      <w:numFmt w:val="bullet"/>
      <w:lvlText w:val=""/>
      <w:lvlJc w:val="left"/>
      <w:pPr>
        <w:tabs>
          <w:tab w:val="num" w:pos="4320"/>
        </w:tabs>
        <w:ind w:left="4320" w:hanging="360"/>
      </w:pPr>
      <w:rPr>
        <w:rFonts w:ascii="Wingdings" w:hAnsi="Wingdings"/>
      </w:rPr>
    </w:lvl>
    <w:lvl w:ilvl="6" w:tplc="9612A022">
      <w:start w:val="1"/>
      <w:numFmt w:val="bullet"/>
      <w:lvlText w:val=""/>
      <w:lvlJc w:val="left"/>
      <w:pPr>
        <w:tabs>
          <w:tab w:val="num" w:pos="5040"/>
        </w:tabs>
        <w:ind w:left="5040" w:hanging="360"/>
      </w:pPr>
      <w:rPr>
        <w:rFonts w:ascii="Symbol" w:hAnsi="Symbol"/>
      </w:rPr>
    </w:lvl>
    <w:lvl w:ilvl="7" w:tplc="C548CF66">
      <w:start w:val="1"/>
      <w:numFmt w:val="bullet"/>
      <w:lvlText w:val="o"/>
      <w:lvlJc w:val="left"/>
      <w:pPr>
        <w:tabs>
          <w:tab w:val="num" w:pos="5760"/>
        </w:tabs>
        <w:ind w:left="5760" w:hanging="360"/>
      </w:pPr>
      <w:rPr>
        <w:rFonts w:ascii="Courier New" w:hAnsi="Courier New"/>
      </w:rPr>
    </w:lvl>
    <w:lvl w:ilvl="8" w:tplc="F582016C">
      <w:start w:val="1"/>
      <w:numFmt w:val="bullet"/>
      <w:lvlText w:val=""/>
      <w:lvlJc w:val="left"/>
      <w:pPr>
        <w:tabs>
          <w:tab w:val="num" w:pos="6480"/>
        </w:tabs>
        <w:ind w:left="6480" w:hanging="360"/>
      </w:pPr>
      <w:rPr>
        <w:rFonts w:ascii="Wingdings" w:hAnsi="Wingdings"/>
      </w:rPr>
    </w:lvl>
  </w:abstractNum>
  <w:abstractNum w:abstractNumId="25" w15:restartNumberingAfterBreak="0">
    <w:nsid w:val="7F075154"/>
    <w:multiLevelType w:val="multilevel"/>
    <w:tmpl w:val="D72081BE"/>
    <w:lvl w:ilvl="0">
      <w:start w:val="2"/>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F075155"/>
    <w:multiLevelType w:val="multilevel"/>
    <w:tmpl w:val="D5DE421E"/>
    <w:lvl w:ilvl="0">
      <w:start w:val="1"/>
      <w:numFmt w:val="decimal"/>
      <w:pStyle w:val="Heading10"/>
      <w:lvlText w:val="%1."/>
      <w:lvlJc w:val="left"/>
      <w:pPr>
        <w:tabs>
          <w:tab w:val="num" w:pos="480"/>
        </w:tabs>
        <w:ind w:left="480" w:hanging="480"/>
      </w:pPr>
    </w:lvl>
    <w:lvl w:ilvl="1">
      <w:start w:val="1"/>
      <w:numFmt w:val="decimal"/>
      <w:pStyle w:val="Heading20"/>
      <w:lvlText w:val="%1.%2."/>
      <w:lvlJc w:val="left"/>
      <w:pPr>
        <w:tabs>
          <w:tab w:val="num" w:pos="1200"/>
        </w:tabs>
        <w:ind w:left="1200" w:hanging="720"/>
      </w:pPr>
      <w:rPr>
        <w:i w:val="0"/>
        <w:iCs w:val="0"/>
      </w:rPr>
    </w:lvl>
    <w:lvl w:ilvl="2">
      <w:start w:val="1"/>
      <w:numFmt w:val="decimal"/>
      <w:pStyle w:val="Heading30"/>
      <w:lvlText w:val="%1.%2.%3."/>
      <w:lvlJc w:val="left"/>
      <w:pPr>
        <w:tabs>
          <w:tab w:val="num" w:pos="1920"/>
        </w:tabs>
        <w:ind w:left="1920" w:hanging="720"/>
      </w:pPr>
    </w:lvl>
    <w:lvl w:ilvl="3">
      <w:start w:val="1"/>
      <w:numFmt w:val="decimal"/>
      <w:pStyle w:val="Heading40"/>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7F075156"/>
    <w:multiLevelType w:val="multilevel"/>
    <w:tmpl w:val="D5DE421E"/>
    <w:lvl w:ilvl="0">
      <w:start w:val="1"/>
      <w:numFmt w:val="decimal"/>
      <w:pStyle w:val="Heading11"/>
      <w:lvlText w:val="%1."/>
      <w:lvlJc w:val="left"/>
      <w:pPr>
        <w:tabs>
          <w:tab w:val="num" w:pos="480"/>
        </w:tabs>
        <w:ind w:left="480" w:hanging="480"/>
      </w:pPr>
    </w:lvl>
    <w:lvl w:ilvl="1">
      <w:start w:val="1"/>
      <w:numFmt w:val="decimal"/>
      <w:pStyle w:val="Heading21"/>
      <w:lvlText w:val="%1.%2."/>
      <w:lvlJc w:val="left"/>
      <w:pPr>
        <w:tabs>
          <w:tab w:val="num" w:pos="1200"/>
        </w:tabs>
        <w:ind w:left="1200" w:hanging="720"/>
      </w:pPr>
      <w:rPr>
        <w:i w:val="0"/>
        <w:iCs w:val="0"/>
      </w:rPr>
    </w:lvl>
    <w:lvl w:ilvl="2">
      <w:start w:val="1"/>
      <w:numFmt w:val="decimal"/>
      <w:pStyle w:val="Heading31"/>
      <w:lvlText w:val="%1.%2.%3."/>
      <w:lvlJc w:val="left"/>
      <w:pPr>
        <w:tabs>
          <w:tab w:val="num" w:pos="1920"/>
        </w:tabs>
        <w:ind w:left="1920" w:hanging="720"/>
      </w:pPr>
    </w:lvl>
    <w:lvl w:ilvl="3">
      <w:start w:val="1"/>
      <w:numFmt w:val="decimal"/>
      <w:pStyle w:val="Heading41"/>
      <w:lvlText w:val="%1.%2.%3.%4."/>
      <w:lvlJc w:val="left"/>
      <w:pPr>
        <w:tabs>
          <w:tab w:val="num" w:pos="1920"/>
        </w:tabs>
        <w:ind w:left="1920" w:hanging="720"/>
      </w:pPr>
    </w:lvl>
    <w:lvl w:ilvl="4">
      <w:start w:val="1"/>
      <w:numFmt w:val="decimal"/>
      <w:lvlText w:val="%1.%2.%3.%4.%5."/>
      <w:lvlJc w:val="left"/>
      <w:pPr>
        <w:tabs>
          <w:tab w:val="num" w:pos="1800"/>
        </w:tabs>
        <w:ind w:left="1800" w:hanging="360"/>
      </w:pPr>
    </w:lvl>
    <w:lvl w:ilvl="5">
      <w:start w:val="1"/>
      <w:numFmt w:val="decimal"/>
      <w:lvlText w:val="%1.%2.%3.%4.%5.%6."/>
      <w:lvlJc w:val="left"/>
      <w:pPr>
        <w:tabs>
          <w:tab w:val="num" w:pos="2160"/>
        </w:tabs>
        <w:ind w:left="2160" w:hanging="360"/>
      </w:pPr>
    </w:lvl>
    <w:lvl w:ilvl="6">
      <w:start w:val="1"/>
      <w:numFmt w:val="decimal"/>
      <w:lvlText w:val="%1.%2.%3.%4.%5.%6.%7."/>
      <w:lvlJc w:val="left"/>
      <w:pPr>
        <w:tabs>
          <w:tab w:val="num" w:pos="2520"/>
        </w:tabs>
        <w:ind w:left="2520" w:hanging="360"/>
      </w:pPr>
    </w:lvl>
    <w:lvl w:ilvl="7">
      <w:start w:val="1"/>
      <w:numFmt w:val="decimal"/>
      <w:lvlText w:val="%1.%2.%3.%4.%5.%6.%7.%8."/>
      <w:lvlJc w:val="left"/>
      <w:pPr>
        <w:tabs>
          <w:tab w:val="num" w:pos="2880"/>
        </w:tabs>
        <w:ind w:left="2880" w:hanging="360"/>
      </w:pPr>
    </w:lvl>
    <w:lvl w:ilvl="8">
      <w:start w:val="1"/>
      <w:numFmt w:val="decimal"/>
      <w:lvlText w:val="%1.%2.%3.%4.%5.%6.%7.%8.%9."/>
      <w:lvlJc w:val="left"/>
      <w:pPr>
        <w:tabs>
          <w:tab w:val="num" w:pos="3240"/>
        </w:tabs>
        <w:ind w:left="3240" w:hanging="360"/>
      </w:pPr>
    </w:lvl>
  </w:abstractNum>
  <w:abstractNum w:abstractNumId="28" w15:restartNumberingAfterBreak="0">
    <w:nsid w:val="7F075157"/>
    <w:multiLevelType w:val="hybridMultilevel"/>
    <w:tmpl w:val="7F075155"/>
    <w:lvl w:ilvl="0" w:tplc="78306C22">
      <w:start w:val="1"/>
      <w:numFmt w:val="bullet"/>
      <w:lvlText w:val=""/>
      <w:lvlJc w:val="left"/>
      <w:pPr>
        <w:tabs>
          <w:tab w:val="num" w:pos="720"/>
        </w:tabs>
        <w:ind w:left="720" w:hanging="360"/>
      </w:pPr>
      <w:rPr>
        <w:rFonts w:ascii="Symbol" w:hAnsi="Symbol"/>
      </w:rPr>
    </w:lvl>
    <w:lvl w:ilvl="1" w:tplc="EA44B554">
      <w:start w:val="1"/>
      <w:numFmt w:val="bullet"/>
      <w:lvlText w:val="o"/>
      <w:lvlJc w:val="left"/>
      <w:pPr>
        <w:tabs>
          <w:tab w:val="num" w:pos="1440"/>
        </w:tabs>
        <w:ind w:left="1440" w:hanging="360"/>
      </w:pPr>
      <w:rPr>
        <w:rFonts w:ascii="Courier New" w:hAnsi="Courier New"/>
      </w:rPr>
    </w:lvl>
    <w:lvl w:ilvl="2" w:tplc="F02C8FA0">
      <w:start w:val="1"/>
      <w:numFmt w:val="bullet"/>
      <w:lvlText w:val=""/>
      <w:lvlJc w:val="left"/>
      <w:pPr>
        <w:tabs>
          <w:tab w:val="num" w:pos="2160"/>
        </w:tabs>
        <w:ind w:left="2160" w:hanging="360"/>
      </w:pPr>
      <w:rPr>
        <w:rFonts w:ascii="Wingdings" w:hAnsi="Wingdings"/>
      </w:rPr>
    </w:lvl>
    <w:lvl w:ilvl="3" w:tplc="8F3C5FD2">
      <w:start w:val="1"/>
      <w:numFmt w:val="bullet"/>
      <w:lvlText w:val=""/>
      <w:lvlJc w:val="left"/>
      <w:pPr>
        <w:tabs>
          <w:tab w:val="num" w:pos="2880"/>
        </w:tabs>
        <w:ind w:left="2880" w:hanging="360"/>
      </w:pPr>
      <w:rPr>
        <w:rFonts w:ascii="Symbol" w:hAnsi="Symbol"/>
      </w:rPr>
    </w:lvl>
    <w:lvl w:ilvl="4" w:tplc="53B0FF58">
      <w:start w:val="1"/>
      <w:numFmt w:val="bullet"/>
      <w:lvlText w:val="o"/>
      <w:lvlJc w:val="left"/>
      <w:pPr>
        <w:tabs>
          <w:tab w:val="num" w:pos="3600"/>
        </w:tabs>
        <w:ind w:left="3600" w:hanging="360"/>
      </w:pPr>
      <w:rPr>
        <w:rFonts w:ascii="Courier New" w:hAnsi="Courier New"/>
      </w:rPr>
    </w:lvl>
    <w:lvl w:ilvl="5" w:tplc="8F74F9E6">
      <w:start w:val="1"/>
      <w:numFmt w:val="bullet"/>
      <w:lvlText w:val=""/>
      <w:lvlJc w:val="left"/>
      <w:pPr>
        <w:tabs>
          <w:tab w:val="num" w:pos="4320"/>
        </w:tabs>
        <w:ind w:left="4320" w:hanging="360"/>
      </w:pPr>
      <w:rPr>
        <w:rFonts w:ascii="Wingdings" w:hAnsi="Wingdings"/>
      </w:rPr>
    </w:lvl>
    <w:lvl w:ilvl="6" w:tplc="AB14CAFC">
      <w:start w:val="1"/>
      <w:numFmt w:val="bullet"/>
      <w:lvlText w:val=""/>
      <w:lvlJc w:val="left"/>
      <w:pPr>
        <w:tabs>
          <w:tab w:val="num" w:pos="5040"/>
        </w:tabs>
        <w:ind w:left="5040" w:hanging="360"/>
      </w:pPr>
      <w:rPr>
        <w:rFonts w:ascii="Symbol" w:hAnsi="Symbol"/>
      </w:rPr>
    </w:lvl>
    <w:lvl w:ilvl="7" w:tplc="BAC23598">
      <w:start w:val="1"/>
      <w:numFmt w:val="bullet"/>
      <w:lvlText w:val="o"/>
      <w:lvlJc w:val="left"/>
      <w:pPr>
        <w:tabs>
          <w:tab w:val="num" w:pos="5760"/>
        </w:tabs>
        <w:ind w:left="5760" w:hanging="360"/>
      </w:pPr>
      <w:rPr>
        <w:rFonts w:ascii="Courier New" w:hAnsi="Courier New"/>
      </w:rPr>
    </w:lvl>
    <w:lvl w:ilvl="8" w:tplc="5ECC50EC">
      <w:start w:val="1"/>
      <w:numFmt w:val="bullet"/>
      <w:lvlText w:val=""/>
      <w:lvlJc w:val="left"/>
      <w:pPr>
        <w:tabs>
          <w:tab w:val="num" w:pos="6480"/>
        </w:tabs>
        <w:ind w:left="6480" w:hanging="360"/>
      </w:pPr>
      <w:rPr>
        <w:rFonts w:ascii="Wingdings" w:hAnsi="Wingdings"/>
      </w:rPr>
    </w:lvl>
  </w:abstractNum>
  <w:num w:numId="1">
    <w:abstractNumId w:val="20"/>
  </w:num>
  <w:num w:numId="2">
    <w:abstractNumId w:val="25"/>
  </w:num>
  <w:num w:numId="3">
    <w:abstractNumId w:val="15"/>
  </w:num>
  <w:num w:numId="4">
    <w:abstractNumId w:val="1"/>
  </w:num>
  <w:num w:numId="5">
    <w:abstractNumId w:val="0"/>
  </w:num>
  <w:num w:numId="6">
    <w:abstractNumId w:val="5"/>
  </w:num>
  <w:num w:numId="7">
    <w:abstractNumId w:val="13"/>
  </w:num>
  <w:num w:numId="8">
    <w:abstractNumId w:val="7"/>
  </w:num>
  <w:num w:numId="9">
    <w:abstractNumId w:val="12"/>
  </w:num>
  <w:num w:numId="10">
    <w:abstractNumId w:val="19"/>
  </w:num>
  <w:num w:numId="11">
    <w:abstractNumId w:val="21"/>
  </w:num>
  <w:num w:numId="12">
    <w:abstractNumId w:val="10"/>
  </w:num>
  <w:num w:numId="13">
    <w:abstractNumId w:val="18"/>
  </w:num>
  <w:num w:numId="14">
    <w:abstractNumId w:val="17"/>
  </w:num>
  <w:num w:numId="15">
    <w:abstractNumId w:val="14"/>
  </w:num>
  <w:num w:numId="16">
    <w:abstractNumId w:val="16"/>
  </w:num>
  <w:num w:numId="17">
    <w:abstractNumId w:val="6"/>
  </w:num>
  <w:num w:numId="18">
    <w:abstractNumId w:val="11"/>
  </w:num>
  <w:num w:numId="19">
    <w:abstractNumId w:val="4"/>
  </w:num>
  <w:num w:numId="20">
    <w:abstractNumId w:val="8"/>
  </w:num>
  <w:num w:numId="21">
    <w:abstractNumId w:val="22"/>
  </w:num>
  <w:num w:numId="22">
    <w:abstractNumId w:val="9"/>
  </w:num>
  <w:num w:numId="23">
    <w:abstractNumId w:val="23"/>
  </w:num>
  <w:num w:numId="24">
    <w:abstractNumId w:val="2"/>
  </w:num>
  <w:num w:numId="25">
    <w:abstractNumId w:val="9"/>
  </w:num>
  <w:num w:numId="26">
    <w:abstractNumId w:val="9"/>
  </w:num>
  <w:num w:numId="27">
    <w:abstractNumId w:val="9"/>
  </w:num>
  <w:num w:numId="28">
    <w:abstractNumId w:val="9"/>
  </w:num>
  <w:num w:numId="29">
    <w:abstractNumId w:val="9"/>
  </w:num>
  <w:num w:numId="30">
    <w:abstractNumId w:val="9"/>
  </w:num>
  <w:num w:numId="31">
    <w:abstractNumId w:val="24"/>
  </w:num>
  <w:num w:numId="32">
    <w:abstractNumId w:val="3"/>
  </w:num>
  <w:num w:numId="33">
    <w:abstractNumId w:val="26"/>
  </w:num>
  <w:num w:numId="34">
    <w:abstractNumId w:val="27"/>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BA1CA0"/>
    <w:rsid w:val="00840CB2"/>
    <w:rsid w:val="00BA1C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476A9857"/>
  <w15:docId w15:val="{27376A90-64CE-4F61-889C-C3FF3547B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pPr>
      <w:spacing w:after="240"/>
      <w:jc w:val="both"/>
    </w:pPr>
    <w:rPr>
      <w:sz w:val="24"/>
      <w:lang w:eastAsia="en-US"/>
    </w:rPr>
  </w:style>
  <w:style w:type="paragraph" w:styleId="Titre1">
    <w:name w:val="heading 1"/>
    <w:basedOn w:val="Normal"/>
    <w:next w:val="Text1"/>
    <w:qFormat/>
    <w:rsid w:val="002416FE"/>
    <w:pPr>
      <w:keepNext/>
      <w:numPr>
        <w:numId w:val="6"/>
      </w:numPr>
      <w:spacing w:before="240"/>
      <w:outlineLvl w:val="0"/>
    </w:pPr>
    <w:rPr>
      <w:b/>
    </w:rPr>
  </w:style>
  <w:style w:type="paragraph" w:styleId="Titre2">
    <w:name w:val="heading 2"/>
    <w:basedOn w:val="Normal"/>
    <w:next w:val="Text2"/>
    <w:qFormat/>
    <w:pPr>
      <w:keepNext/>
      <w:numPr>
        <w:ilvl w:val="1"/>
        <w:numId w:val="6"/>
      </w:numPr>
      <w:outlineLvl w:val="1"/>
    </w:pPr>
    <w:rPr>
      <w:b/>
    </w:rPr>
  </w:style>
  <w:style w:type="paragraph" w:styleId="Titre3">
    <w:name w:val="heading 3"/>
    <w:basedOn w:val="Normal"/>
    <w:next w:val="Text3"/>
    <w:qFormat/>
    <w:pPr>
      <w:keepNext/>
      <w:numPr>
        <w:ilvl w:val="2"/>
        <w:numId w:val="6"/>
      </w:numPr>
      <w:outlineLvl w:val="2"/>
    </w:pPr>
    <w:rPr>
      <w:i/>
    </w:rPr>
  </w:style>
  <w:style w:type="paragraph" w:styleId="Titre4">
    <w:name w:val="heading 4"/>
    <w:basedOn w:val="Normal"/>
    <w:next w:val="Text4"/>
    <w:qFormat/>
    <w:pPr>
      <w:keepNext/>
      <w:numPr>
        <w:ilvl w:val="3"/>
        <w:numId w:val="6"/>
      </w:numPr>
      <w:outlineLvl w:val="3"/>
    </w:pPr>
  </w:style>
  <w:style w:type="paragraph" w:styleId="Titre5">
    <w:name w:val="heading 5"/>
    <w:basedOn w:val="Normal"/>
    <w:next w:val="Normal"/>
    <w:qFormat/>
    <w:pPr>
      <w:tabs>
        <w:tab w:val="num" w:pos="0"/>
      </w:tabs>
      <w:spacing w:before="240" w:after="60"/>
      <w:outlineLvl w:val="4"/>
    </w:pPr>
    <w:rPr>
      <w:rFonts w:ascii="Arial" w:hAnsi="Arial"/>
      <w:sz w:val="22"/>
    </w:rPr>
  </w:style>
  <w:style w:type="paragraph" w:styleId="Titre6">
    <w:name w:val="heading 6"/>
    <w:basedOn w:val="Normal"/>
    <w:next w:val="Normal"/>
    <w:qFormat/>
    <w:pPr>
      <w:tabs>
        <w:tab w:val="num" w:pos="0"/>
      </w:tabs>
      <w:spacing w:before="240" w:after="60"/>
      <w:outlineLvl w:val="5"/>
    </w:pPr>
    <w:rPr>
      <w:rFonts w:ascii="Arial" w:hAnsi="Arial"/>
      <w:i/>
      <w:sz w:val="22"/>
    </w:rPr>
  </w:style>
  <w:style w:type="paragraph" w:styleId="Titre7">
    <w:name w:val="heading 7"/>
    <w:basedOn w:val="Normal"/>
    <w:next w:val="Normal"/>
    <w:qFormat/>
    <w:pPr>
      <w:tabs>
        <w:tab w:val="num" w:pos="0"/>
      </w:tabs>
      <w:spacing w:before="240" w:after="60"/>
      <w:outlineLvl w:val="6"/>
    </w:pPr>
    <w:rPr>
      <w:rFonts w:ascii="Arial" w:hAnsi="Arial"/>
      <w:sz w:val="20"/>
    </w:rPr>
  </w:style>
  <w:style w:type="paragraph" w:styleId="Titre8">
    <w:name w:val="heading 8"/>
    <w:basedOn w:val="Normal"/>
    <w:next w:val="Normal"/>
    <w:qFormat/>
    <w:pPr>
      <w:tabs>
        <w:tab w:val="num" w:pos="0"/>
      </w:tabs>
      <w:spacing w:before="240" w:after="60"/>
      <w:outlineLvl w:val="7"/>
    </w:pPr>
    <w:rPr>
      <w:rFonts w:ascii="Arial" w:hAnsi="Arial"/>
      <w:i/>
      <w:sz w:val="20"/>
    </w:rPr>
  </w:style>
  <w:style w:type="paragraph" w:styleId="Titre9">
    <w:name w:val="heading 9"/>
    <w:basedOn w:val="Normal"/>
    <w:next w:val="Normal"/>
    <w:qFormat/>
    <w:pPr>
      <w:tabs>
        <w:tab w:val="num" w:pos="0"/>
      </w:tabs>
      <w:spacing w:before="240" w:after="60"/>
      <w:outlineLvl w:val="8"/>
    </w:pPr>
    <w:rPr>
      <w:rFonts w:ascii="Arial" w:hAnsi="Arial"/>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Normalcentr">
    <w:name w:val="Block Text"/>
    <w:basedOn w:val="Normal"/>
    <w:pPr>
      <w:spacing w:after="120"/>
      <w:ind w:left="1440" w:right="1440"/>
    </w:pPr>
  </w:style>
  <w:style w:type="paragraph" w:styleId="Corpsdetexte">
    <w:name w:val="Body Text"/>
    <w:basedOn w:val="Normal"/>
    <w:pPr>
      <w:spacing w:after="120"/>
    </w:pPr>
  </w:style>
  <w:style w:type="paragraph" w:styleId="Corpsdetexte2">
    <w:name w:val="Body Text 2"/>
    <w:basedOn w:val="Normal"/>
    <w:pPr>
      <w:spacing w:after="120" w:line="480" w:lineRule="auto"/>
    </w:pPr>
  </w:style>
  <w:style w:type="paragraph" w:styleId="Corpsdetexte3">
    <w:name w:val="Body Text 3"/>
    <w:basedOn w:val="Normal"/>
    <w:pPr>
      <w:spacing w:after="120"/>
    </w:pPr>
    <w:rPr>
      <w:sz w:val="16"/>
    </w:rPr>
  </w:style>
  <w:style w:type="paragraph" w:styleId="Retrait1religne">
    <w:name w:val="Body Text First Indent"/>
    <w:basedOn w:val="Corpsdetexte"/>
    <w:pPr>
      <w:ind w:firstLine="210"/>
    </w:pPr>
  </w:style>
  <w:style w:type="paragraph" w:styleId="Retraitcorpsdetexte">
    <w:name w:val="Body Text Indent"/>
    <w:basedOn w:val="Normal"/>
    <w:pPr>
      <w:spacing w:after="120"/>
      <w:ind w:left="283"/>
    </w:pPr>
  </w:style>
  <w:style w:type="paragraph" w:styleId="Retraitcorpset1relig">
    <w:name w:val="Body Text First Indent 2"/>
    <w:basedOn w:val="Retraitcorpsdetexte"/>
    <w:pPr>
      <w:ind w:firstLine="210"/>
    </w:pPr>
  </w:style>
  <w:style w:type="paragraph" w:styleId="Retraitcorpsdetexte2">
    <w:name w:val="Body Text Indent 2"/>
    <w:basedOn w:val="Normal"/>
    <w:pPr>
      <w:spacing w:after="120" w:line="480" w:lineRule="auto"/>
      <w:ind w:left="283"/>
    </w:pPr>
  </w:style>
  <w:style w:type="paragraph" w:styleId="Retraitcorpsdetexte3">
    <w:name w:val="Body Text Indent 3"/>
    <w:basedOn w:val="Normal"/>
    <w:pPr>
      <w:spacing w:after="120"/>
      <w:ind w:left="283"/>
    </w:pPr>
    <w:rPr>
      <w:sz w:val="16"/>
    </w:rPr>
  </w:style>
  <w:style w:type="paragraph" w:styleId="Lgende">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Titre1"/>
    <w:pPr>
      <w:keepNext/>
      <w:spacing w:after="480"/>
      <w:jc w:val="center"/>
    </w:pPr>
    <w:rPr>
      <w:b/>
      <w:smallCaps/>
      <w:sz w:val="28"/>
    </w:rPr>
  </w:style>
  <w:style w:type="paragraph" w:styleId="Formuledepolitesse">
    <w:name w:val="Closing"/>
    <w:basedOn w:val="Normal"/>
    <w:pPr>
      <w:ind w:left="4252"/>
    </w:pPr>
  </w:style>
  <w:style w:type="paragraph" w:styleId="Commentaire">
    <w:name w:val="annotation text"/>
    <w:basedOn w:val="Normal"/>
    <w:link w:val="CommentaireCar"/>
    <w:semiHidden/>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Explorateurdedocuments">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Notedefin">
    <w:name w:val="endnote text"/>
    <w:basedOn w:val="Normal"/>
    <w:semiHidden/>
    <w:rPr>
      <w:sz w:val="20"/>
    </w:rPr>
  </w:style>
  <w:style w:type="paragraph" w:styleId="Adressedestinataire">
    <w:name w:val="envelope address"/>
    <w:basedOn w:val="Normal"/>
    <w:pPr>
      <w:framePr w:w="7920" w:h="1980" w:hRule="exact" w:hSpace="180" w:wrap="auto" w:hAnchor="page" w:xAlign="center" w:yAlign="bottom"/>
      <w:spacing w:after="0"/>
    </w:pPr>
  </w:style>
  <w:style w:type="paragraph" w:styleId="Adresseexpditeur">
    <w:name w:val="envelope return"/>
    <w:basedOn w:val="Normal"/>
    <w:pPr>
      <w:spacing w:after="0"/>
    </w:pPr>
    <w:rPr>
      <w:sz w:val="20"/>
    </w:rPr>
  </w:style>
  <w:style w:type="paragraph" w:styleId="Pieddepage">
    <w:name w:val="footer"/>
    <w:basedOn w:val="Normal"/>
    <w:link w:val="PieddepageCar"/>
    <w:uiPriority w:val="99"/>
    <w:pPr>
      <w:spacing w:after="0"/>
      <w:ind w:right="-567"/>
      <w:jc w:val="left"/>
    </w:pPr>
    <w:rPr>
      <w:rFonts w:ascii="Arial" w:hAnsi="Arial"/>
      <w:sz w:val="16"/>
    </w:rPr>
  </w:style>
  <w:style w:type="paragraph" w:styleId="Notedebasdepage">
    <w:name w:val="footnote text"/>
    <w:basedOn w:val="Normal"/>
    <w:link w:val="NotedebasdepageCar"/>
    <w:uiPriority w:val="99"/>
    <w:pPr>
      <w:ind w:left="357" w:hanging="357"/>
    </w:pPr>
    <w:rPr>
      <w:sz w:val="20"/>
    </w:rPr>
  </w:style>
  <w:style w:type="paragraph" w:styleId="En-tte">
    <w:name w:val="header"/>
    <w:basedOn w:val="Normal"/>
    <w:link w:val="En-tteCar"/>
    <w:uiPriority w:val="99"/>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Titreindex">
    <w:name w:val="index heading"/>
    <w:basedOn w:val="Normal"/>
    <w:next w:val="Index1"/>
    <w:semiHidden/>
    <w:rPr>
      <w:rFonts w:ascii="Arial" w:hAnsi="Arial"/>
      <w:b/>
    </w:rPr>
  </w:style>
  <w:style w:type="paragraph" w:styleId="Liste">
    <w:name w:val="List"/>
    <w:basedOn w:val="Normal"/>
    <w:pPr>
      <w:ind w:left="283" w:hanging="283"/>
    </w:pPr>
  </w:style>
  <w:style w:type="paragraph" w:styleId="Liste2">
    <w:name w:val="List 2"/>
    <w:basedOn w:val="Normal"/>
    <w:pPr>
      <w:ind w:left="566" w:hanging="283"/>
    </w:pPr>
  </w:style>
  <w:style w:type="paragraph" w:styleId="Liste3">
    <w:name w:val="List 3"/>
    <w:basedOn w:val="Normal"/>
    <w:pPr>
      <w:ind w:left="849" w:hanging="283"/>
    </w:pPr>
  </w:style>
  <w:style w:type="paragraph" w:styleId="Liste4">
    <w:name w:val="List 4"/>
    <w:basedOn w:val="Normal"/>
    <w:pPr>
      <w:ind w:left="1132" w:hanging="283"/>
    </w:pPr>
  </w:style>
  <w:style w:type="paragraph" w:styleId="Liste5">
    <w:name w:val="List 5"/>
    <w:basedOn w:val="Normal"/>
    <w:pPr>
      <w:ind w:left="1415" w:hanging="283"/>
    </w:pPr>
  </w:style>
  <w:style w:type="paragraph" w:styleId="Listepuces">
    <w:name w:val="List Bullet"/>
    <w:basedOn w:val="Normal"/>
    <w:pPr>
      <w:numPr>
        <w:numId w:val="7"/>
      </w:numPr>
    </w:pPr>
  </w:style>
  <w:style w:type="paragraph" w:styleId="Listepuces2">
    <w:name w:val="List Bullet 2"/>
    <w:basedOn w:val="Text2"/>
    <w:pPr>
      <w:numPr>
        <w:numId w:val="9"/>
      </w:numPr>
      <w:tabs>
        <w:tab w:val="clear" w:pos="2302"/>
      </w:tabs>
    </w:pPr>
  </w:style>
  <w:style w:type="paragraph" w:styleId="Listepuces3">
    <w:name w:val="List Bullet 3"/>
    <w:basedOn w:val="Text3"/>
    <w:pPr>
      <w:numPr>
        <w:numId w:val="10"/>
      </w:numPr>
      <w:tabs>
        <w:tab w:val="clear" w:pos="2302"/>
      </w:tabs>
    </w:pPr>
  </w:style>
  <w:style w:type="paragraph" w:styleId="Listepuces4">
    <w:name w:val="List Bullet 4"/>
    <w:basedOn w:val="Text4"/>
    <w:pPr>
      <w:numPr>
        <w:numId w:val="11"/>
      </w:numPr>
      <w:tabs>
        <w:tab w:val="clear" w:pos="2302"/>
      </w:tabs>
    </w:pPr>
  </w:style>
  <w:style w:type="paragraph" w:styleId="Listepuces5">
    <w:name w:val="List Bullet 5"/>
    <w:basedOn w:val="Normal"/>
    <w:autoRedefine/>
    <w:pPr>
      <w:numPr>
        <w:numId w:val="4"/>
      </w:numPr>
    </w:pPr>
  </w:style>
  <w:style w:type="paragraph" w:styleId="Listecontinue">
    <w:name w:val="List Continue"/>
    <w:basedOn w:val="Normal"/>
    <w:pPr>
      <w:spacing w:after="120"/>
      <w:ind w:left="283"/>
    </w:pPr>
  </w:style>
  <w:style w:type="paragraph" w:styleId="Listecontinue2">
    <w:name w:val="List Continue 2"/>
    <w:basedOn w:val="Normal"/>
    <w:pPr>
      <w:spacing w:after="120"/>
      <w:ind w:left="566"/>
    </w:pPr>
  </w:style>
  <w:style w:type="paragraph" w:styleId="Listecontinue3">
    <w:name w:val="List Continue 3"/>
    <w:basedOn w:val="Normal"/>
    <w:pPr>
      <w:spacing w:after="120"/>
      <w:ind w:left="849"/>
    </w:pPr>
  </w:style>
  <w:style w:type="paragraph" w:styleId="Listecontinue4">
    <w:name w:val="List Continue 4"/>
    <w:basedOn w:val="Normal"/>
    <w:pPr>
      <w:spacing w:after="120"/>
      <w:ind w:left="1132"/>
    </w:pPr>
  </w:style>
  <w:style w:type="paragraph" w:styleId="Listecontinue5">
    <w:name w:val="List Continue 5"/>
    <w:basedOn w:val="Normal"/>
    <w:pPr>
      <w:spacing w:after="120"/>
      <w:ind w:left="1415"/>
    </w:pPr>
  </w:style>
  <w:style w:type="paragraph" w:styleId="Listenumros">
    <w:name w:val="List Number"/>
    <w:basedOn w:val="Normal"/>
    <w:pPr>
      <w:numPr>
        <w:numId w:val="17"/>
      </w:numPr>
    </w:pPr>
  </w:style>
  <w:style w:type="paragraph" w:styleId="Listenumros2">
    <w:name w:val="List Number 2"/>
    <w:basedOn w:val="Text2"/>
    <w:pPr>
      <w:numPr>
        <w:numId w:val="19"/>
      </w:numPr>
      <w:tabs>
        <w:tab w:val="clear" w:pos="2302"/>
      </w:tabs>
    </w:pPr>
  </w:style>
  <w:style w:type="paragraph" w:styleId="Listenumros3">
    <w:name w:val="List Number 3"/>
    <w:basedOn w:val="Text3"/>
    <w:pPr>
      <w:numPr>
        <w:numId w:val="20"/>
      </w:numPr>
      <w:tabs>
        <w:tab w:val="clear" w:pos="2302"/>
      </w:tabs>
    </w:pPr>
  </w:style>
  <w:style w:type="paragraph" w:styleId="Listenumros4">
    <w:name w:val="List Number 4"/>
    <w:basedOn w:val="Text4"/>
    <w:pPr>
      <w:numPr>
        <w:numId w:val="21"/>
      </w:numPr>
      <w:tabs>
        <w:tab w:val="clear" w:pos="2302"/>
      </w:tabs>
    </w:pPr>
  </w:style>
  <w:style w:type="paragraph" w:styleId="Listenumros5">
    <w:name w:val="List Number 5"/>
    <w:basedOn w:val="Normal"/>
    <w:pPr>
      <w:numPr>
        <w:numId w:val="5"/>
      </w:numPr>
    </w:pPr>
  </w:style>
  <w:style w:type="paragraph" w:styleId="Textedemacro">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En-ttedemessag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Retraitnormal">
    <w:name w:val="Normal Indent"/>
    <w:basedOn w:val="Normal"/>
    <w:pPr>
      <w:ind w:left="720"/>
    </w:pPr>
  </w:style>
  <w:style w:type="paragraph" w:customStyle="1" w:styleId="NoteHeading1">
    <w:name w:val="Note Heading1"/>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Titre1"/>
    <w:next w:val="Text1"/>
    <w:pPr>
      <w:keepNext w:val="0"/>
      <w:spacing w:before="0"/>
      <w:outlineLvl w:val="9"/>
    </w:pPr>
    <w:rPr>
      <w:b w:val="0"/>
      <w:smallCaps/>
    </w:rPr>
  </w:style>
  <w:style w:type="paragraph" w:customStyle="1" w:styleId="NumPar2">
    <w:name w:val="NumPar 2"/>
    <w:basedOn w:val="Titre2"/>
    <w:next w:val="Text2"/>
    <w:pPr>
      <w:keepNext w:val="0"/>
      <w:outlineLvl w:val="9"/>
    </w:pPr>
    <w:rPr>
      <w:b w:val="0"/>
    </w:rPr>
  </w:style>
  <w:style w:type="paragraph" w:customStyle="1" w:styleId="NumPar3">
    <w:name w:val="NumPar 3"/>
    <w:basedOn w:val="Titre3"/>
    <w:next w:val="Text3"/>
    <w:pPr>
      <w:keepNext w:val="0"/>
      <w:outlineLvl w:val="9"/>
    </w:pPr>
    <w:rPr>
      <w:i w:val="0"/>
    </w:rPr>
  </w:style>
  <w:style w:type="paragraph" w:customStyle="1" w:styleId="NumPar4">
    <w:name w:val="NumPar 4"/>
    <w:basedOn w:val="Titre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Textebrut">
    <w:name w:val="Plain Text"/>
    <w:basedOn w:val="Normal"/>
    <w:rPr>
      <w:rFonts w:ascii="Courier New" w:hAnsi="Courier New"/>
      <w:sz w:val="20"/>
    </w:rPr>
  </w:style>
  <w:style w:type="paragraph" w:styleId="Salutations">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ous-titre">
    <w:name w:val="Subtitle"/>
    <w:basedOn w:val="Normal"/>
    <w:link w:val="Sous-titreCar"/>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desrfrencesjuridiques">
    <w:name w:val="table of authorities"/>
    <w:basedOn w:val="Normal"/>
    <w:next w:val="Normal"/>
    <w:semiHidden/>
    <w:pPr>
      <w:ind w:left="240" w:hanging="240"/>
    </w:pPr>
  </w:style>
  <w:style w:type="paragraph" w:styleId="Tabledesillustrations">
    <w:name w:val="table of figures"/>
    <w:basedOn w:val="Normal"/>
    <w:next w:val="Normal"/>
    <w:semiHidden/>
    <w:pPr>
      <w:ind w:left="480" w:hanging="480"/>
    </w:pPr>
  </w:style>
  <w:style w:type="paragraph" w:styleId="Titre">
    <w:name w:val="Title"/>
    <w:basedOn w:val="Normal"/>
    <w:next w:val="SubTitle1"/>
    <w:qFormat/>
    <w:pPr>
      <w:spacing w:after="480"/>
      <w:jc w:val="center"/>
    </w:pPr>
    <w:rPr>
      <w:b/>
      <w:kern w:val="28"/>
      <w:sz w:val="48"/>
    </w:rPr>
  </w:style>
  <w:style w:type="paragraph" w:styleId="TitreTR">
    <w:name w:val="toa heading"/>
    <w:basedOn w:val="Normal"/>
    <w:next w:val="Normal"/>
    <w:semiHidden/>
    <w:pPr>
      <w:spacing w:before="120"/>
    </w:pPr>
    <w:rPr>
      <w:rFonts w:ascii="Arial" w:hAnsi="Arial"/>
      <w:b/>
    </w:rPr>
  </w:style>
  <w:style w:type="paragraph" w:styleId="TM1">
    <w:name w:val="toc 1"/>
    <w:basedOn w:val="Normal"/>
    <w:next w:val="Normal"/>
    <w:semiHidden/>
    <w:pPr>
      <w:tabs>
        <w:tab w:val="right" w:leader="dot" w:pos="8640"/>
      </w:tabs>
      <w:spacing w:before="120" w:after="120"/>
      <w:ind w:left="482" w:right="720" w:hanging="482"/>
    </w:pPr>
    <w:rPr>
      <w:caps/>
    </w:rPr>
  </w:style>
  <w:style w:type="paragraph" w:styleId="TM2">
    <w:name w:val="toc 2"/>
    <w:basedOn w:val="Normal"/>
    <w:next w:val="Normal"/>
    <w:semiHidden/>
    <w:pPr>
      <w:tabs>
        <w:tab w:val="right" w:leader="dot" w:pos="8640"/>
      </w:tabs>
      <w:spacing w:before="60" w:after="60"/>
      <w:ind w:left="1077" w:right="720" w:hanging="595"/>
    </w:pPr>
  </w:style>
  <w:style w:type="paragraph" w:styleId="TM3">
    <w:name w:val="toc 3"/>
    <w:basedOn w:val="Normal"/>
    <w:next w:val="Normal"/>
    <w:semiHidden/>
    <w:pPr>
      <w:tabs>
        <w:tab w:val="right" w:leader="dot" w:pos="8640"/>
      </w:tabs>
      <w:spacing w:before="60" w:after="60"/>
      <w:ind w:left="1916" w:right="720" w:hanging="839"/>
    </w:pPr>
  </w:style>
  <w:style w:type="paragraph" w:styleId="TM4">
    <w:name w:val="toc 4"/>
    <w:basedOn w:val="Normal"/>
    <w:next w:val="Normal"/>
    <w:semiHidden/>
    <w:pPr>
      <w:tabs>
        <w:tab w:val="right" w:leader="dot" w:pos="8641"/>
      </w:tabs>
      <w:spacing w:before="60" w:after="60"/>
      <w:ind w:left="2880" w:right="720" w:hanging="964"/>
    </w:pPr>
  </w:style>
  <w:style w:type="paragraph" w:styleId="TM5">
    <w:name w:val="toc 5"/>
    <w:basedOn w:val="Normal"/>
    <w:next w:val="Normal"/>
    <w:semiHidden/>
    <w:pPr>
      <w:tabs>
        <w:tab w:val="right" w:leader="dot" w:pos="8641"/>
      </w:tabs>
      <w:spacing w:before="240" w:after="120"/>
      <w:ind w:right="720"/>
    </w:pPr>
    <w:rPr>
      <w:caps/>
    </w:rPr>
  </w:style>
  <w:style w:type="paragraph" w:styleId="TM6">
    <w:name w:val="toc 6"/>
    <w:basedOn w:val="Normal"/>
    <w:next w:val="Normal"/>
    <w:autoRedefine/>
    <w:semiHidden/>
    <w:pPr>
      <w:ind w:left="1200"/>
    </w:pPr>
  </w:style>
  <w:style w:type="paragraph" w:styleId="TM7">
    <w:name w:val="toc 7"/>
    <w:basedOn w:val="Normal"/>
    <w:next w:val="Normal"/>
    <w:autoRedefine/>
    <w:semiHidden/>
    <w:pPr>
      <w:ind w:left="1440"/>
    </w:pPr>
  </w:style>
  <w:style w:type="paragraph" w:styleId="TM8">
    <w:name w:val="toc 8"/>
    <w:basedOn w:val="Normal"/>
    <w:next w:val="Normal"/>
    <w:autoRedefine/>
    <w:semiHidden/>
    <w:pPr>
      <w:ind w:left="1680"/>
    </w:pPr>
  </w:style>
  <w:style w:type="paragraph" w:styleId="TM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8"/>
      </w:numPr>
    </w:pPr>
  </w:style>
  <w:style w:type="paragraph" w:customStyle="1" w:styleId="ListDash">
    <w:name w:val="List Dash"/>
    <w:basedOn w:val="Normal"/>
    <w:pPr>
      <w:numPr>
        <w:numId w:val="12"/>
      </w:numPr>
    </w:pPr>
  </w:style>
  <w:style w:type="paragraph" w:customStyle="1" w:styleId="ListDash1">
    <w:name w:val="List Dash 1"/>
    <w:basedOn w:val="Text1"/>
    <w:pPr>
      <w:numPr>
        <w:numId w:val="13"/>
      </w:numPr>
    </w:pPr>
  </w:style>
  <w:style w:type="paragraph" w:customStyle="1" w:styleId="ListDash2">
    <w:name w:val="List Dash 2"/>
    <w:basedOn w:val="Text2"/>
    <w:pPr>
      <w:numPr>
        <w:numId w:val="14"/>
      </w:numPr>
      <w:tabs>
        <w:tab w:val="clear" w:pos="2302"/>
      </w:tabs>
    </w:pPr>
  </w:style>
  <w:style w:type="paragraph" w:customStyle="1" w:styleId="ListDash3">
    <w:name w:val="List Dash 3"/>
    <w:basedOn w:val="Text3"/>
    <w:pPr>
      <w:numPr>
        <w:numId w:val="15"/>
      </w:numPr>
      <w:tabs>
        <w:tab w:val="clear" w:pos="2302"/>
      </w:tabs>
    </w:pPr>
  </w:style>
  <w:style w:type="paragraph" w:customStyle="1" w:styleId="ListDash4">
    <w:name w:val="List Dash 4"/>
    <w:basedOn w:val="Text4"/>
    <w:pPr>
      <w:numPr>
        <w:numId w:val="16"/>
      </w:numPr>
      <w:tabs>
        <w:tab w:val="clear" w:pos="2302"/>
      </w:tabs>
    </w:pPr>
  </w:style>
  <w:style w:type="paragraph" w:customStyle="1" w:styleId="ListNumberLevel2">
    <w:name w:val="List Number (Level 2)"/>
    <w:basedOn w:val="Normal"/>
    <w:pPr>
      <w:numPr>
        <w:ilvl w:val="1"/>
        <w:numId w:val="17"/>
      </w:numPr>
    </w:pPr>
  </w:style>
  <w:style w:type="paragraph" w:customStyle="1" w:styleId="ListNumberLevel3">
    <w:name w:val="List Number (Level 3)"/>
    <w:basedOn w:val="Normal"/>
    <w:pPr>
      <w:numPr>
        <w:ilvl w:val="2"/>
        <w:numId w:val="17"/>
      </w:numPr>
    </w:pPr>
  </w:style>
  <w:style w:type="paragraph" w:customStyle="1" w:styleId="ListNumberLevel4">
    <w:name w:val="List Number (Level 4)"/>
    <w:basedOn w:val="Normal"/>
    <w:pPr>
      <w:numPr>
        <w:ilvl w:val="3"/>
        <w:numId w:val="17"/>
      </w:numPr>
    </w:pPr>
  </w:style>
  <w:style w:type="paragraph" w:customStyle="1" w:styleId="ListNumber1">
    <w:name w:val="List Number 1"/>
    <w:basedOn w:val="Text1"/>
    <w:pPr>
      <w:numPr>
        <w:numId w:val="18"/>
      </w:numPr>
    </w:pPr>
  </w:style>
  <w:style w:type="paragraph" w:customStyle="1" w:styleId="ListNumber1Level2">
    <w:name w:val="List Number 1 (Level 2)"/>
    <w:basedOn w:val="Text1"/>
    <w:pPr>
      <w:numPr>
        <w:ilvl w:val="1"/>
        <w:numId w:val="18"/>
      </w:numPr>
    </w:pPr>
  </w:style>
  <w:style w:type="paragraph" w:customStyle="1" w:styleId="ListNumber1Level3">
    <w:name w:val="List Number 1 (Level 3)"/>
    <w:basedOn w:val="Text1"/>
    <w:pPr>
      <w:numPr>
        <w:ilvl w:val="2"/>
        <w:numId w:val="18"/>
      </w:numPr>
    </w:pPr>
  </w:style>
  <w:style w:type="paragraph" w:customStyle="1" w:styleId="ListNumber1Level4">
    <w:name w:val="List Number 1 (Level 4)"/>
    <w:basedOn w:val="Text1"/>
    <w:pPr>
      <w:numPr>
        <w:ilvl w:val="3"/>
        <w:numId w:val="18"/>
      </w:numPr>
    </w:pPr>
  </w:style>
  <w:style w:type="paragraph" w:customStyle="1" w:styleId="ListNumber2Level2">
    <w:name w:val="List Number 2 (Level 2)"/>
    <w:basedOn w:val="Text2"/>
    <w:pPr>
      <w:numPr>
        <w:ilvl w:val="1"/>
        <w:numId w:val="19"/>
      </w:numPr>
      <w:tabs>
        <w:tab w:val="clear" w:pos="2302"/>
      </w:tabs>
    </w:pPr>
  </w:style>
  <w:style w:type="paragraph" w:customStyle="1" w:styleId="ListNumber2Level3">
    <w:name w:val="List Number 2 (Level 3)"/>
    <w:basedOn w:val="Text2"/>
    <w:pPr>
      <w:numPr>
        <w:ilvl w:val="2"/>
        <w:numId w:val="19"/>
      </w:numPr>
      <w:tabs>
        <w:tab w:val="clear" w:pos="2302"/>
      </w:tabs>
    </w:pPr>
  </w:style>
  <w:style w:type="paragraph" w:customStyle="1" w:styleId="ListNumber2Level4">
    <w:name w:val="List Number 2 (Level 4)"/>
    <w:basedOn w:val="Text2"/>
    <w:pPr>
      <w:numPr>
        <w:ilvl w:val="3"/>
        <w:numId w:val="19"/>
      </w:numPr>
      <w:tabs>
        <w:tab w:val="clear" w:pos="2302"/>
      </w:tabs>
    </w:pPr>
  </w:style>
  <w:style w:type="paragraph" w:customStyle="1" w:styleId="ListNumber3Level2">
    <w:name w:val="List Number 3 (Level 2)"/>
    <w:basedOn w:val="Text3"/>
    <w:pPr>
      <w:numPr>
        <w:ilvl w:val="1"/>
        <w:numId w:val="20"/>
      </w:numPr>
      <w:tabs>
        <w:tab w:val="clear" w:pos="2302"/>
      </w:tabs>
    </w:pPr>
  </w:style>
  <w:style w:type="paragraph" w:customStyle="1" w:styleId="ListNumber3Level3">
    <w:name w:val="List Number 3 (Level 3)"/>
    <w:basedOn w:val="Text3"/>
    <w:pPr>
      <w:numPr>
        <w:ilvl w:val="2"/>
        <w:numId w:val="20"/>
      </w:numPr>
      <w:tabs>
        <w:tab w:val="clear" w:pos="2302"/>
      </w:tabs>
    </w:pPr>
  </w:style>
  <w:style w:type="paragraph" w:customStyle="1" w:styleId="ListNumber3Level4">
    <w:name w:val="List Number 3 (Level 4)"/>
    <w:basedOn w:val="Text3"/>
    <w:pPr>
      <w:numPr>
        <w:ilvl w:val="3"/>
        <w:numId w:val="20"/>
      </w:numPr>
      <w:tabs>
        <w:tab w:val="clear" w:pos="2302"/>
      </w:tabs>
    </w:pPr>
  </w:style>
  <w:style w:type="paragraph" w:customStyle="1" w:styleId="ListNumber4Level2">
    <w:name w:val="List Number 4 (Level 2)"/>
    <w:basedOn w:val="Text4"/>
    <w:pPr>
      <w:numPr>
        <w:ilvl w:val="1"/>
        <w:numId w:val="21"/>
      </w:numPr>
      <w:tabs>
        <w:tab w:val="clear" w:pos="2302"/>
      </w:tabs>
    </w:pPr>
  </w:style>
  <w:style w:type="paragraph" w:customStyle="1" w:styleId="ListNumber4Level3">
    <w:name w:val="List Number 4 (Level 3)"/>
    <w:basedOn w:val="Text4"/>
    <w:pPr>
      <w:numPr>
        <w:ilvl w:val="2"/>
        <w:numId w:val="21"/>
      </w:numPr>
      <w:tabs>
        <w:tab w:val="clear" w:pos="2302"/>
      </w:tabs>
    </w:pPr>
  </w:style>
  <w:style w:type="paragraph" w:customStyle="1" w:styleId="ListNumber4Level4">
    <w:name w:val="List Number 4 (Level 4)"/>
    <w:basedOn w:val="Text4"/>
    <w:pPr>
      <w:numPr>
        <w:ilvl w:val="3"/>
        <w:numId w:val="21"/>
      </w:numPr>
      <w:tabs>
        <w:tab w:val="clear" w:pos="2302"/>
      </w:tabs>
    </w:pPr>
  </w:style>
  <w:style w:type="paragraph" w:styleId="En-ttedetabledesmatires">
    <w:name w:val="TOC Heading"/>
    <w:basedOn w:val="Normal"/>
    <w:next w:val="Normal"/>
    <w:qFormat/>
    <w:pPr>
      <w:keepNext/>
      <w:spacing w:before="240"/>
      <w:jc w:val="center"/>
    </w:pPr>
    <w:rPr>
      <w:b/>
    </w:rPr>
  </w:style>
  <w:style w:type="paragraph" w:customStyle="1" w:styleId="Contact">
    <w:name w:val="Contact"/>
    <w:basedOn w:val="Normal"/>
    <w:next w:val="Normal"/>
    <w:uiPriority w:val="99"/>
    <w:pPr>
      <w:spacing w:after="480"/>
      <w:ind w:left="567" w:hanging="567"/>
      <w:jc w:val="left"/>
    </w:pPr>
  </w:style>
  <w:style w:type="paragraph" w:customStyle="1" w:styleId="Designator">
    <w:name w:val="Designator"/>
    <w:basedOn w:val="Normal"/>
    <w:pPr>
      <w:spacing w:after="0"/>
      <w:jc w:val="center"/>
    </w:pPr>
    <w:rPr>
      <w:b/>
      <w:caps/>
      <w:sz w:val="32"/>
    </w:rPr>
  </w:style>
  <w:style w:type="paragraph" w:customStyle="1" w:styleId="Releasable">
    <w:name w:val="Releasable"/>
    <w:basedOn w:val="Normal"/>
    <w:qFormat/>
    <w:pPr>
      <w:spacing w:after="0"/>
      <w:jc w:val="center"/>
    </w:pPr>
    <w:rPr>
      <w:b/>
      <w:caps/>
      <w:sz w:val="32"/>
      <w:lang w:val="de-DE"/>
    </w:rPr>
  </w:style>
  <w:style w:type="paragraph" w:customStyle="1" w:styleId="RUE">
    <w:name w:val="RUE"/>
    <w:basedOn w:val="Normal"/>
    <w:pPr>
      <w:spacing w:after="0"/>
      <w:jc w:val="center"/>
    </w:pPr>
    <w:rPr>
      <w:b/>
      <w:caps/>
      <w:sz w:val="32"/>
      <w:bdr w:val="single" w:sz="18" w:space="0" w:color="auto"/>
      <w:lang w:val="de-DE"/>
    </w:rPr>
  </w:style>
  <w:style w:type="paragraph" w:customStyle="1" w:styleId="ConfidentialUE">
    <w:name w:val="Confidential UE"/>
    <w:basedOn w:val="Normal"/>
    <w:pPr>
      <w:spacing w:after="0"/>
      <w:jc w:val="center"/>
    </w:pPr>
    <w:rPr>
      <w:b/>
      <w:caps/>
      <w:sz w:val="32"/>
      <w:bdr w:val="single" w:sz="18" w:space="0" w:color="auto"/>
    </w:rPr>
  </w:style>
  <w:style w:type="paragraph" w:customStyle="1" w:styleId="SecretUE">
    <w:name w:val="Secret UE"/>
    <w:basedOn w:val="Normal"/>
    <w:pPr>
      <w:spacing w:after="0"/>
      <w:jc w:val="center"/>
    </w:pPr>
    <w:rPr>
      <w:b/>
      <w:caps/>
      <w:color w:val="FF0000"/>
      <w:sz w:val="32"/>
      <w:bdr w:val="single" w:sz="18" w:space="0" w:color="FF0000"/>
    </w:rPr>
  </w:style>
  <w:style w:type="paragraph" w:customStyle="1" w:styleId="TrsSecretUE">
    <w:name w:val="Très Secret UE"/>
    <w:basedOn w:val="Normal"/>
    <w:pPr>
      <w:spacing w:after="0"/>
      <w:jc w:val="center"/>
    </w:pPr>
    <w:rPr>
      <w:b/>
      <w:caps/>
      <w:color w:val="FF0000"/>
      <w:sz w:val="32"/>
      <w:bdr w:val="single" w:sz="18" w:space="0" w:color="FF0000"/>
    </w:rPr>
  </w:style>
  <w:style w:type="paragraph" w:customStyle="1" w:styleId="LegalNumPar">
    <w:name w:val="LegalNumPar"/>
    <w:basedOn w:val="Normal"/>
    <w:pPr>
      <w:numPr>
        <w:numId w:val="30"/>
      </w:numPr>
      <w:spacing w:line="360" w:lineRule="auto"/>
      <w:jc w:val="left"/>
    </w:pPr>
    <w:rPr>
      <w:rFonts w:eastAsiaTheme="minorHAnsi"/>
      <w:szCs w:val="22"/>
    </w:rPr>
  </w:style>
  <w:style w:type="paragraph" w:customStyle="1" w:styleId="LegalNumPar2">
    <w:name w:val="LegalNumPar2"/>
    <w:basedOn w:val="Normal"/>
    <w:pPr>
      <w:numPr>
        <w:ilvl w:val="1"/>
        <w:numId w:val="30"/>
      </w:numPr>
      <w:spacing w:line="360" w:lineRule="auto"/>
      <w:ind w:left="952" w:hanging="476"/>
      <w:jc w:val="left"/>
    </w:pPr>
    <w:rPr>
      <w:rFonts w:eastAsiaTheme="minorHAnsi"/>
      <w:szCs w:val="22"/>
    </w:rPr>
  </w:style>
  <w:style w:type="paragraph" w:customStyle="1" w:styleId="LegalNumPar3">
    <w:name w:val="LegalNumPar3"/>
    <w:basedOn w:val="Normal"/>
    <w:pPr>
      <w:numPr>
        <w:ilvl w:val="2"/>
        <w:numId w:val="30"/>
      </w:numPr>
      <w:spacing w:line="360" w:lineRule="auto"/>
      <w:jc w:val="left"/>
    </w:pPr>
    <w:rPr>
      <w:rFonts w:eastAsiaTheme="minorHAnsi"/>
      <w:szCs w:val="22"/>
    </w:rPr>
  </w:style>
  <w:style w:type="character" w:customStyle="1" w:styleId="PieddepageCar">
    <w:name w:val="Pied de page Car"/>
    <w:basedOn w:val="Policepardfaut"/>
    <w:link w:val="Pieddepage"/>
    <w:uiPriority w:val="99"/>
    <w:rsid w:val="00951854"/>
    <w:rPr>
      <w:rFonts w:ascii="Arial" w:hAnsi="Arial"/>
      <w:sz w:val="16"/>
      <w:lang w:eastAsia="en-US"/>
    </w:rPr>
  </w:style>
  <w:style w:type="paragraph" w:customStyle="1" w:styleId="ZCom">
    <w:name w:val="Z_Com"/>
    <w:basedOn w:val="Normal"/>
    <w:next w:val="ZDGName"/>
    <w:uiPriority w:val="99"/>
    <w:rsid w:val="00951854"/>
    <w:pPr>
      <w:widowControl w:val="0"/>
      <w:autoSpaceDE w:val="0"/>
      <w:autoSpaceDN w:val="0"/>
      <w:spacing w:after="0"/>
      <w:ind w:right="85"/>
    </w:pPr>
    <w:rPr>
      <w:rFonts w:ascii="Arial" w:eastAsiaTheme="minorEastAsia" w:hAnsi="Arial" w:cs="Arial"/>
      <w:szCs w:val="24"/>
      <w:lang w:eastAsia="en-GB"/>
    </w:rPr>
  </w:style>
  <w:style w:type="paragraph" w:customStyle="1" w:styleId="ZDGName">
    <w:name w:val="Z_DGName"/>
    <w:basedOn w:val="Normal"/>
    <w:uiPriority w:val="99"/>
    <w:rsid w:val="00951854"/>
    <w:pPr>
      <w:widowControl w:val="0"/>
      <w:autoSpaceDE w:val="0"/>
      <w:autoSpaceDN w:val="0"/>
      <w:spacing w:after="0"/>
      <w:ind w:right="85"/>
      <w:jc w:val="left"/>
    </w:pPr>
    <w:rPr>
      <w:rFonts w:ascii="Arial" w:eastAsiaTheme="minorEastAsia" w:hAnsi="Arial" w:cs="Arial"/>
      <w:sz w:val="16"/>
      <w:szCs w:val="16"/>
      <w:lang w:eastAsia="en-GB"/>
    </w:rPr>
  </w:style>
  <w:style w:type="character" w:customStyle="1" w:styleId="En-tteCar">
    <w:name w:val="En-tête Car"/>
    <w:basedOn w:val="Policepardfaut"/>
    <w:link w:val="En-tte"/>
    <w:uiPriority w:val="99"/>
    <w:rsid w:val="00951854"/>
    <w:rPr>
      <w:sz w:val="24"/>
      <w:lang w:eastAsia="en-US"/>
    </w:rPr>
  </w:style>
  <w:style w:type="character" w:styleId="Marquedecommentaire">
    <w:name w:val="annotation reference"/>
    <w:basedOn w:val="Policepardfaut"/>
    <w:uiPriority w:val="99"/>
    <w:semiHidden/>
    <w:unhideWhenUsed/>
    <w:rsid w:val="00814485"/>
    <w:rPr>
      <w:sz w:val="16"/>
      <w:szCs w:val="16"/>
    </w:rPr>
  </w:style>
  <w:style w:type="paragraph" w:styleId="Objetducommentaire">
    <w:name w:val="annotation subject"/>
    <w:basedOn w:val="Commentaire"/>
    <w:next w:val="Commentaire"/>
    <w:link w:val="ObjetducommentaireCar"/>
    <w:uiPriority w:val="99"/>
    <w:semiHidden/>
    <w:unhideWhenUsed/>
    <w:rsid w:val="00814485"/>
    <w:rPr>
      <w:b/>
      <w:bCs/>
    </w:rPr>
  </w:style>
  <w:style w:type="character" w:customStyle="1" w:styleId="CommentaireCar">
    <w:name w:val="Commentaire Car"/>
    <w:basedOn w:val="Policepardfaut"/>
    <w:link w:val="Commentaire"/>
    <w:semiHidden/>
    <w:rsid w:val="00814485"/>
    <w:rPr>
      <w:lang w:eastAsia="en-US"/>
    </w:rPr>
  </w:style>
  <w:style w:type="character" w:customStyle="1" w:styleId="ObjetducommentaireCar">
    <w:name w:val="Objet du commentaire Car"/>
    <w:basedOn w:val="CommentaireCar"/>
    <w:link w:val="Objetducommentaire"/>
    <w:uiPriority w:val="99"/>
    <w:semiHidden/>
    <w:rsid w:val="00814485"/>
    <w:rPr>
      <w:b/>
      <w:bCs/>
      <w:lang w:eastAsia="en-US"/>
    </w:rPr>
  </w:style>
  <w:style w:type="paragraph" w:styleId="Paragraphedeliste">
    <w:name w:val="List Paragraph"/>
    <w:basedOn w:val="Normal"/>
    <w:uiPriority w:val="34"/>
    <w:qFormat/>
    <w:rsid w:val="00814485"/>
    <w:pPr>
      <w:ind w:left="720"/>
      <w:contextualSpacing/>
    </w:pPr>
  </w:style>
  <w:style w:type="paragraph" w:styleId="Rvision">
    <w:name w:val="Revision"/>
    <w:hidden/>
    <w:uiPriority w:val="99"/>
    <w:semiHidden/>
    <w:rsid w:val="00FB3C1A"/>
    <w:rPr>
      <w:sz w:val="24"/>
      <w:lang w:eastAsia="en-US"/>
    </w:rPr>
  </w:style>
  <w:style w:type="character" w:customStyle="1" w:styleId="NotedebasdepageCar">
    <w:name w:val="Note de bas de page Car"/>
    <w:basedOn w:val="Policepardfaut"/>
    <w:link w:val="Notedebasdepage"/>
    <w:uiPriority w:val="99"/>
    <w:rsid w:val="00132807"/>
    <w:rPr>
      <w:lang w:eastAsia="en-US"/>
    </w:rPr>
  </w:style>
  <w:style w:type="character" w:styleId="Appelnotedebasdep">
    <w:name w:val="footnote reference"/>
    <w:basedOn w:val="Policepardfaut"/>
    <w:uiPriority w:val="99"/>
    <w:semiHidden/>
    <w:unhideWhenUsed/>
    <w:rsid w:val="00132807"/>
    <w:rPr>
      <w:vertAlign w:val="superscript"/>
    </w:rPr>
  </w:style>
  <w:style w:type="character" w:styleId="Lienhypertexte">
    <w:name w:val="Hyperlink"/>
    <w:basedOn w:val="Policepardfaut"/>
    <w:uiPriority w:val="99"/>
    <w:unhideWhenUsed/>
    <w:rsid w:val="00132807"/>
    <w:rPr>
      <w:color w:val="0000FF" w:themeColor="hyperlink"/>
      <w:u w:val="single"/>
    </w:rPr>
  </w:style>
  <w:style w:type="character" w:customStyle="1" w:styleId="Sous-titreCar">
    <w:name w:val="Sous-titre Car"/>
    <w:basedOn w:val="Policepardfaut"/>
    <w:link w:val="Sous-titre"/>
    <w:rsid w:val="00D81A2D"/>
    <w:rPr>
      <w:rFonts w:ascii="Arial" w:hAnsi="Arial"/>
      <w:sz w:val="24"/>
      <w:lang w:eastAsia="en-US"/>
    </w:rPr>
  </w:style>
  <w:style w:type="table" w:styleId="Grilledutableau">
    <w:name w:val="Table Grid"/>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Header0">
    <w:name w:val="Header_0"/>
    <w:basedOn w:val="Normal0"/>
    <w:link w:val="HeaderChar0"/>
    <w:uiPriority w:val="99"/>
    <w:pPr>
      <w:tabs>
        <w:tab w:val="center" w:pos="4153"/>
        <w:tab w:val="right" w:pos="8306"/>
      </w:tabs>
    </w:pPr>
  </w:style>
  <w:style w:type="paragraph" w:customStyle="1" w:styleId="Normal0">
    <w:name w:val="Normal_0"/>
    <w:qFormat/>
    <w:pPr>
      <w:spacing w:after="240"/>
      <w:jc w:val="both"/>
    </w:pPr>
    <w:rPr>
      <w:sz w:val="24"/>
      <w:lang w:eastAsia="en-US"/>
    </w:rPr>
  </w:style>
  <w:style w:type="character" w:customStyle="1" w:styleId="HeaderChar0">
    <w:name w:val="Header Char_0"/>
    <w:basedOn w:val="Policepardfaut"/>
    <w:link w:val="Header0"/>
    <w:uiPriority w:val="99"/>
    <w:rsid w:val="00951854"/>
    <w:rPr>
      <w:sz w:val="24"/>
      <w:lang w:eastAsia="en-US"/>
    </w:rPr>
  </w:style>
  <w:style w:type="paragraph" w:customStyle="1" w:styleId="Footer0">
    <w:name w:val="Footer_0"/>
    <w:basedOn w:val="Normal0"/>
    <w:link w:val="FooterChar0"/>
    <w:uiPriority w:val="99"/>
    <w:pPr>
      <w:spacing w:after="0"/>
      <w:ind w:right="-567"/>
      <w:jc w:val="left"/>
    </w:pPr>
    <w:rPr>
      <w:rFonts w:ascii="Arial" w:hAnsi="Arial"/>
      <w:sz w:val="16"/>
    </w:rPr>
  </w:style>
  <w:style w:type="character" w:customStyle="1" w:styleId="FooterChar0">
    <w:name w:val="Footer Char_0"/>
    <w:basedOn w:val="Policepardfaut"/>
    <w:link w:val="Footer0"/>
    <w:uiPriority w:val="99"/>
    <w:rsid w:val="00951854"/>
    <w:rPr>
      <w:rFonts w:ascii="Arial" w:hAnsi="Arial"/>
      <w:sz w:val="16"/>
      <w:lang w:eastAsia="en-US"/>
    </w:rPr>
  </w:style>
  <w:style w:type="paragraph" w:customStyle="1" w:styleId="Heading10">
    <w:name w:val="Heading 1_0"/>
    <w:basedOn w:val="Normal0"/>
    <w:next w:val="Text10"/>
    <w:link w:val="Heading1Char"/>
    <w:qFormat/>
    <w:rsid w:val="002416FE"/>
    <w:pPr>
      <w:keepNext/>
      <w:numPr>
        <w:numId w:val="33"/>
      </w:numPr>
      <w:spacing w:before="240"/>
      <w:outlineLvl w:val="0"/>
    </w:pPr>
    <w:rPr>
      <w:b/>
    </w:rPr>
  </w:style>
  <w:style w:type="paragraph" w:customStyle="1" w:styleId="Heading20">
    <w:name w:val="Heading 2_0"/>
    <w:basedOn w:val="Normal0"/>
    <w:next w:val="Text20"/>
    <w:qFormat/>
    <w:pPr>
      <w:keepNext/>
      <w:numPr>
        <w:ilvl w:val="1"/>
        <w:numId w:val="33"/>
      </w:numPr>
      <w:outlineLvl w:val="1"/>
    </w:pPr>
    <w:rPr>
      <w:b/>
    </w:rPr>
  </w:style>
  <w:style w:type="paragraph" w:customStyle="1" w:styleId="Text20">
    <w:name w:val="Text 2_0"/>
    <w:basedOn w:val="Normal0"/>
    <w:pPr>
      <w:tabs>
        <w:tab w:val="left" w:pos="2302"/>
      </w:tabs>
      <w:ind w:left="1202"/>
    </w:pPr>
  </w:style>
  <w:style w:type="paragraph" w:customStyle="1" w:styleId="Heading30">
    <w:name w:val="Heading 3_0"/>
    <w:basedOn w:val="Normal0"/>
    <w:next w:val="Text30"/>
    <w:qFormat/>
    <w:pPr>
      <w:keepNext/>
      <w:numPr>
        <w:ilvl w:val="2"/>
        <w:numId w:val="33"/>
      </w:numPr>
      <w:outlineLvl w:val="2"/>
    </w:pPr>
    <w:rPr>
      <w:i/>
    </w:rPr>
  </w:style>
  <w:style w:type="paragraph" w:customStyle="1" w:styleId="Text30">
    <w:name w:val="Text 3_0"/>
    <w:basedOn w:val="Normal0"/>
    <w:pPr>
      <w:tabs>
        <w:tab w:val="left" w:pos="2302"/>
      </w:tabs>
      <w:ind w:left="1202"/>
    </w:pPr>
  </w:style>
  <w:style w:type="paragraph" w:customStyle="1" w:styleId="Heading40">
    <w:name w:val="Heading 4_0"/>
    <w:basedOn w:val="Normal0"/>
    <w:next w:val="Text40"/>
    <w:qFormat/>
    <w:pPr>
      <w:keepNext/>
      <w:numPr>
        <w:ilvl w:val="3"/>
        <w:numId w:val="33"/>
      </w:numPr>
      <w:outlineLvl w:val="3"/>
    </w:pPr>
  </w:style>
  <w:style w:type="paragraph" w:customStyle="1" w:styleId="Text40">
    <w:name w:val="Text 4_0"/>
    <w:basedOn w:val="Normal0"/>
    <w:pPr>
      <w:tabs>
        <w:tab w:val="left" w:pos="2302"/>
      </w:tabs>
      <w:ind w:left="1202"/>
    </w:pPr>
  </w:style>
  <w:style w:type="paragraph" w:customStyle="1" w:styleId="Text10">
    <w:name w:val="Text 1_0"/>
    <w:basedOn w:val="Normal0"/>
    <w:pPr>
      <w:ind w:left="482"/>
    </w:pPr>
  </w:style>
  <w:style w:type="character" w:customStyle="1" w:styleId="Heading1Char">
    <w:name w:val="Heading 1 Char"/>
    <w:basedOn w:val="Policepardfaut"/>
    <w:link w:val="Heading10"/>
    <w:rsid w:val="00B941C9"/>
    <w:rPr>
      <w:b/>
      <w:sz w:val="24"/>
      <w:lang w:eastAsia="en-US"/>
    </w:rPr>
  </w:style>
  <w:style w:type="paragraph" w:customStyle="1" w:styleId="Subtitle0">
    <w:name w:val="Subtitle_0"/>
    <w:basedOn w:val="Normal0"/>
    <w:link w:val="SubtitleChar0"/>
    <w:qFormat/>
    <w:pPr>
      <w:spacing w:after="60"/>
      <w:jc w:val="center"/>
      <w:outlineLvl w:val="1"/>
    </w:pPr>
    <w:rPr>
      <w:rFonts w:ascii="Arial" w:hAnsi="Arial"/>
    </w:rPr>
  </w:style>
  <w:style w:type="character" w:customStyle="1" w:styleId="SubtitleChar0">
    <w:name w:val="Subtitle Char_0"/>
    <w:basedOn w:val="Policepardfaut"/>
    <w:link w:val="Subtitle0"/>
    <w:rsid w:val="00D81A2D"/>
    <w:rPr>
      <w:rFonts w:ascii="Arial" w:hAnsi="Arial"/>
      <w:sz w:val="24"/>
      <w:lang w:eastAsia="en-US"/>
    </w:rPr>
  </w:style>
  <w:style w:type="paragraph" w:customStyle="1" w:styleId="Header1">
    <w:name w:val="Header_1"/>
    <w:basedOn w:val="Normal1"/>
    <w:link w:val="HeaderChar1"/>
    <w:uiPriority w:val="99"/>
    <w:pPr>
      <w:tabs>
        <w:tab w:val="center" w:pos="4153"/>
        <w:tab w:val="right" w:pos="8306"/>
      </w:tabs>
    </w:pPr>
  </w:style>
  <w:style w:type="paragraph" w:customStyle="1" w:styleId="Normal1">
    <w:name w:val="Normal_1"/>
    <w:qFormat/>
    <w:pPr>
      <w:spacing w:after="240"/>
      <w:jc w:val="both"/>
    </w:pPr>
    <w:rPr>
      <w:sz w:val="24"/>
      <w:lang w:eastAsia="en-US"/>
    </w:rPr>
  </w:style>
  <w:style w:type="character" w:customStyle="1" w:styleId="HeaderChar1">
    <w:name w:val="Header Char_1"/>
    <w:basedOn w:val="Policepardfaut"/>
    <w:link w:val="Header1"/>
    <w:uiPriority w:val="99"/>
    <w:rsid w:val="00951854"/>
    <w:rPr>
      <w:sz w:val="24"/>
      <w:lang w:eastAsia="en-US"/>
    </w:rPr>
  </w:style>
  <w:style w:type="paragraph" w:customStyle="1" w:styleId="Footer1">
    <w:name w:val="Footer_1"/>
    <w:basedOn w:val="Normal1"/>
    <w:link w:val="FooterChar1"/>
    <w:uiPriority w:val="99"/>
    <w:pPr>
      <w:spacing w:after="0"/>
      <w:ind w:right="-567"/>
      <w:jc w:val="left"/>
    </w:pPr>
    <w:rPr>
      <w:rFonts w:ascii="Arial" w:hAnsi="Arial"/>
      <w:sz w:val="16"/>
    </w:rPr>
  </w:style>
  <w:style w:type="character" w:customStyle="1" w:styleId="FooterChar1">
    <w:name w:val="Footer Char_1"/>
    <w:basedOn w:val="Policepardfaut"/>
    <w:link w:val="Footer1"/>
    <w:uiPriority w:val="99"/>
    <w:rsid w:val="00951854"/>
    <w:rPr>
      <w:rFonts w:ascii="Arial" w:hAnsi="Arial"/>
      <w:sz w:val="16"/>
      <w:lang w:eastAsia="en-US"/>
    </w:rPr>
  </w:style>
  <w:style w:type="paragraph" w:customStyle="1" w:styleId="Heading11">
    <w:name w:val="Heading 1_1"/>
    <w:basedOn w:val="Normal1"/>
    <w:next w:val="Text11"/>
    <w:qFormat/>
    <w:rsid w:val="002416FE"/>
    <w:pPr>
      <w:keepNext/>
      <w:numPr>
        <w:numId w:val="34"/>
      </w:numPr>
      <w:spacing w:before="240"/>
      <w:outlineLvl w:val="0"/>
    </w:pPr>
    <w:rPr>
      <w:b/>
    </w:rPr>
  </w:style>
  <w:style w:type="paragraph" w:customStyle="1" w:styleId="Heading21">
    <w:name w:val="Heading 2_1"/>
    <w:basedOn w:val="Normal1"/>
    <w:next w:val="Text21"/>
    <w:qFormat/>
    <w:pPr>
      <w:keepNext/>
      <w:numPr>
        <w:ilvl w:val="1"/>
        <w:numId w:val="34"/>
      </w:numPr>
      <w:outlineLvl w:val="1"/>
    </w:pPr>
    <w:rPr>
      <w:b/>
    </w:rPr>
  </w:style>
  <w:style w:type="paragraph" w:customStyle="1" w:styleId="Text21">
    <w:name w:val="Text 2_1"/>
    <w:basedOn w:val="Normal1"/>
    <w:pPr>
      <w:tabs>
        <w:tab w:val="left" w:pos="2302"/>
      </w:tabs>
      <w:ind w:left="1202"/>
    </w:pPr>
  </w:style>
  <w:style w:type="paragraph" w:customStyle="1" w:styleId="Heading31">
    <w:name w:val="Heading 3_1"/>
    <w:basedOn w:val="Normal1"/>
    <w:next w:val="Text31"/>
    <w:qFormat/>
    <w:pPr>
      <w:keepNext/>
      <w:numPr>
        <w:ilvl w:val="2"/>
        <w:numId w:val="34"/>
      </w:numPr>
      <w:outlineLvl w:val="2"/>
    </w:pPr>
    <w:rPr>
      <w:i/>
    </w:rPr>
  </w:style>
  <w:style w:type="paragraph" w:customStyle="1" w:styleId="Text31">
    <w:name w:val="Text 3_1"/>
    <w:basedOn w:val="Normal1"/>
    <w:pPr>
      <w:tabs>
        <w:tab w:val="left" w:pos="2302"/>
      </w:tabs>
      <w:ind w:left="1202"/>
    </w:pPr>
  </w:style>
  <w:style w:type="paragraph" w:customStyle="1" w:styleId="Heading41">
    <w:name w:val="Heading 4_1"/>
    <w:basedOn w:val="Normal1"/>
    <w:next w:val="Text41"/>
    <w:qFormat/>
    <w:pPr>
      <w:keepNext/>
      <w:numPr>
        <w:ilvl w:val="3"/>
        <w:numId w:val="34"/>
      </w:numPr>
      <w:outlineLvl w:val="3"/>
    </w:pPr>
  </w:style>
  <w:style w:type="paragraph" w:customStyle="1" w:styleId="Text41">
    <w:name w:val="Text 4_1"/>
    <w:basedOn w:val="Normal1"/>
    <w:pPr>
      <w:tabs>
        <w:tab w:val="left" w:pos="2302"/>
      </w:tabs>
      <w:ind w:left="1202"/>
    </w:pPr>
  </w:style>
  <w:style w:type="paragraph" w:customStyle="1" w:styleId="Text11">
    <w:name w:val="Text 1_1"/>
    <w:basedOn w:val="Normal1"/>
    <w:pPr>
      <w:ind w:left="482"/>
    </w:pPr>
  </w:style>
  <w:style w:type="paragraph" w:customStyle="1" w:styleId="Subtitle10">
    <w:name w:val="Subtitle_1"/>
    <w:basedOn w:val="Normal1"/>
    <w:link w:val="SubtitleChar1"/>
    <w:qFormat/>
    <w:pPr>
      <w:spacing w:after="60"/>
      <w:jc w:val="center"/>
      <w:outlineLvl w:val="1"/>
    </w:pPr>
    <w:rPr>
      <w:rFonts w:ascii="Arial" w:hAnsi="Arial"/>
    </w:rPr>
  </w:style>
  <w:style w:type="character" w:customStyle="1" w:styleId="SubtitleChar1">
    <w:name w:val="Subtitle Char_1"/>
    <w:basedOn w:val="Policepardfaut"/>
    <w:link w:val="Subtitle10"/>
    <w:rsid w:val="00D81A2D"/>
    <w:rPr>
      <w:rFonts w:ascii="Arial" w:hAnsi="Arial"/>
      <w:sz w:val="24"/>
      <w:lang w:eastAsia="en-US"/>
    </w:rPr>
  </w:style>
  <w:style w:type="table" w:customStyle="1" w:styleId="TableGrid0">
    <w:name w:val="Table Grid_0"/>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FDF4A2522CFC409C6F89DF651223F2" ma:contentTypeVersion="20" ma:contentTypeDescription="Create a new document." ma:contentTypeScope="" ma:versionID="70fe47504bb7b2dcd83f4e52e8dab0d1">
  <xsd:schema xmlns:xsd="http://www.w3.org/2001/XMLSchema" xmlns:xs="http://www.w3.org/2001/XMLSchema" xmlns:p="http://schemas.microsoft.com/office/2006/metadata/properties" xmlns:ns2="204af3c4-d34c-49ca-a823-665a73d20e88" xmlns:ns3="53dbb298-43e7-49ac-b54d-014137d019a1" targetNamespace="http://schemas.microsoft.com/office/2006/metadata/properties" ma:root="true" ma:fieldsID="9bae135aa39aa3fe4e3f9d102e37cdd3" ns2:_="" ns3:_="">
    <xsd:import namespace="204af3c4-d34c-49ca-a823-665a73d20e88"/>
    <xsd:import namespace="53dbb298-43e7-49ac-b54d-014137d019a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Category" minOccurs="0"/>
                <xsd:element ref="ns2:MediaServiceSearchProperties" minOccurs="0"/>
                <xsd:element ref="ns2:Documenttype" minOccurs="0"/>
                <xsd:element ref="ns2:Applicationtype" minOccurs="0"/>
                <xsd:element ref="ns2:Comments" minOccurs="0"/>
                <xsd:element ref="ns2:Respon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af3c4-d34c-49ca-a823-665a73d20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Category" ma:index="22" nillable="true" ma:displayName="Domain" ma:format="Dropdown" ma:internalName="Category">
      <xsd:complexType>
        <xsd:complexContent>
          <xsd:extension base="dms:MultiChoice">
            <xsd:sequence>
              <xsd:element name="Value" maxOccurs="unbounded" minOccurs="0" nillable="true">
                <xsd:simpleType>
                  <xsd:restriction base="dms:Choice">
                    <xsd:enumeration value="Food"/>
                    <xsd:enumeration value="Wine"/>
                    <xsd:enumeration value="Spirit"/>
                    <xsd:enumeration value="TSG"/>
                    <xsd:enumeration value="ALL"/>
                  </xsd:restriction>
                </xsd:simpleType>
              </xsd:element>
            </xsd:sequence>
          </xsd:extension>
        </xsd:complexContent>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Documenttype" ma:index="24" nillable="true" ma:displayName="Document type" ma:format="Dropdown" ma:internalName="Documenttype">
      <xsd:simpleType>
        <xsd:restriction base="dms:Choice">
          <xsd:enumeration value="Additional Info"/>
          <xsd:enumeration value="Single Document"/>
          <xsd:enumeration value="Justification"/>
          <xsd:enumeration value="Unspecified"/>
          <xsd:enumeration value="Cover"/>
          <xsd:enumeration value="Declaration"/>
        </xsd:restriction>
      </xsd:simpleType>
    </xsd:element>
    <xsd:element name="Applicationtype" ma:index="25" nillable="true" ma:displayName="Application type" ma:format="Dropdown" ma:internalName="Applicationtype">
      <xsd:complexType>
        <xsd:complexContent>
          <xsd:extension base="dms:MultiChoice">
            <xsd:sequence>
              <xsd:element name="Value" maxOccurs="unbounded" minOccurs="0" nillable="true">
                <xsd:simpleType>
                  <xsd:restriction base="dms:Choice">
                    <xsd:enumeration value="REG"/>
                    <xsd:enumeration value="STD AMD Mod"/>
                    <xsd:enumeration value="STD AMD Not Mod"/>
                    <xsd:enumeration value="TEMP AMD"/>
                    <xsd:enumeration value="UNION AMD"/>
                    <xsd:enumeration value="AMD"/>
                    <xsd:enumeration value="ALL"/>
                    <xsd:enumeration value="BOTH STD AMD"/>
                  </xsd:restriction>
                </xsd:simpleType>
              </xsd:element>
            </xsd:sequence>
          </xsd:extension>
        </xsd:complexContent>
      </xsd:complexType>
    </xsd:element>
    <xsd:element name="Comments" ma:index="26" nillable="true" ma:displayName="Comments" ma:format="Dropdown" ma:internalName="Comments">
      <xsd:simpleType>
        <xsd:restriction base="dms:Text">
          <xsd:maxLength value="255"/>
        </xsd:restriction>
      </xsd:simpleType>
    </xsd:element>
    <xsd:element name="Responsible" ma:index="27" nillable="true" ma:displayName="Responsible" ma:format="Dropdown" ma:list="UserInfo" ma:SharePointGroup="0" ma:internalName="Responsibl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dbb298-43e7-49ac-b54d-014137d019a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1046ae7-ff01-4636-817d-225bfcbcfef0}" ma:internalName="TaxCatchAll" ma:showField="CatchAllData" ma:web="53dbb298-43e7-49ac-b54d-014137d019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204af3c4-d34c-49ca-a823-665a73d20e88">Final</Comments>
    <TaxCatchAll xmlns="53dbb298-43e7-49ac-b54d-014137d019a1" xsi:nil="true"/>
    <Applicationtype xmlns="204af3c4-d34c-49ca-a823-665a73d20e88">
      <Value>STD AMD Not Mod</Value>
      <Value>STD AMD Mod</Value>
    </Applicationtype>
    <Category xmlns="204af3c4-d34c-49ca-a823-665a73d20e88">
      <Value>Food</Value>
      <Value>Spirit</Value>
      <Value>Wine</Value>
    </Category>
    <lcf76f155ced4ddcb4097134ff3c332f xmlns="204af3c4-d34c-49ca-a823-665a73d20e88">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Documenttype xmlns="204af3c4-d34c-49ca-a823-665a73d20e88">Cover</Documenttype>
    <Responsible xmlns="204af3c4-d34c-49ca-a823-665a73d20e88">
      <UserInfo>
        <DisplayName>PISARSKI Sebastian (AGRI)</DisplayName>
        <AccountId>24</AccountId>
        <AccountType/>
      </UserInfo>
    </Responsible>
  </documentManagement>
</p:properties>
</file>

<file path=customXml/itemProps1.xml><?xml version="1.0" encoding="utf-8"?>
<ds:datastoreItem xmlns:ds="http://schemas.openxmlformats.org/officeDocument/2006/customXml" ds:itemID="{83EDA765-4876-4D4A-837A-4E16C4649692}">
  <ds:schemaRefs>
    <ds:schemaRef ds:uri="http://schemas.microsoft.com/sharepoint/v3/contenttype/forms"/>
  </ds:schemaRefs>
</ds:datastoreItem>
</file>

<file path=customXml/itemProps2.xml><?xml version="1.0" encoding="utf-8"?>
<ds:datastoreItem xmlns:ds="http://schemas.openxmlformats.org/officeDocument/2006/customXml" ds:itemID="{E6EB4972-7705-4997-BDB7-5B95451960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af3c4-d34c-49ca-a823-665a73d20e88"/>
    <ds:schemaRef ds:uri="53dbb298-43e7-49ac-b54d-014137d019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A8E86D-CB63-4AAB-8D9F-3044854CA96C}">
  <ds:schemaRefs>
    <ds:schemaRef ds:uri="http://schemas.microsoft.com/office/2006/metadata/properties"/>
    <ds:schemaRef ds:uri="http://schemas.microsoft.com/office/infopath/2007/PartnerControls"/>
    <ds:schemaRef ds:uri="204af3c4-d34c-49ca-a823-665a73d20e88"/>
    <ds:schemaRef ds:uri="53dbb298-43e7-49ac-b54d-014137d019a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1896</Words>
  <Characters>12163</Characters>
  <Application>Microsoft Office Word</Application>
  <DocSecurity>0</DocSecurity>
  <Lines>101</Lines>
  <Paragraphs>28</Paragraphs>
  <ScaleCrop>false</ScaleCrop>
  <Company>European Commission</Company>
  <LinksUpToDate>false</LinksUpToDate>
  <CharactersWithSpaces>14031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Mustapha ROBIO</dc:creator>
  <cp:keywords>EL4</cp:keywords>
  <cp:lastModifiedBy>ROBICHON Cathleen</cp:lastModifiedBy>
  <cp:revision>34</cp:revision>
  <dcterms:created xsi:type="dcterms:W3CDTF">2025-03-06T13:15:00Z</dcterms:created>
  <dcterms:modified xsi:type="dcterms:W3CDTF">2026-06-26T08:22:00Z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0x0101003EFDF4A2522CFC409C6F89DF651223F2</vt:lpwstr>
  </property>
  <property fmtid="{D5CDD505-2E9C-101B-9397-08002B2CF9AE}" pid="3" name="Created using">
    <vt:lpwstr>EL 4.6 Build 50000</vt:lpwstr>
  </property>
  <property fmtid="{D5CDD505-2E9C-101B-9397-08002B2CF9AE}" pid="4" name="DocID_EU">
    <vt:lpwstr> </vt:lpwstr>
  </property>
  <property fmtid="{D5CDD505-2E9C-101B-9397-08002B2CF9AE}" pid="5" name="ELDocType">
    <vt:lpwstr>rep.dot</vt:lpwstr>
  </property>
  <property fmtid="{D5CDD505-2E9C-101B-9397-08002B2CF9AE}" pid="6" name="EL_Author">
    <vt:lpwstr>Mustapha ROBIO</vt:lpwstr>
  </property>
  <property fmtid="{D5CDD505-2E9C-101B-9397-08002B2CF9AE}" pid="7" name="EL_Language">
    <vt:lpwstr>EN</vt:lpwstr>
  </property>
  <property fmtid="{D5CDD505-2E9C-101B-9397-08002B2CF9AE}" pid="8" name="EurolookVersion">
    <vt:lpwstr>4.6</vt:lpwstr>
  </property>
  <property fmtid="{D5CDD505-2E9C-101B-9397-08002B2CF9AE}" pid="9" name="Formatting">
    <vt:lpwstr>4.1</vt:lpwstr>
  </property>
  <property fmtid="{D5CDD505-2E9C-101B-9397-08002B2CF9AE}" pid="10" name="Language">
    <vt:lpwstr>EN</vt:lpwstr>
  </property>
  <property fmtid="{D5CDD505-2E9C-101B-9397-08002B2CF9AE}" pid="11" name="Last edited using">
    <vt:lpwstr>EL 4.6 Build 50000</vt:lpwstr>
  </property>
  <property fmtid="{D5CDD505-2E9C-101B-9397-08002B2CF9AE}" pid="12" name="MediaServiceImageTags">
    <vt:lpwstr/>
  </property>
  <property fmtid="{D5CDD505-2E9C-101B-9397-08002B2CF9AE}" pid="13" name="MSIP_Label_6bd9ddd1-4d20-43f6-abfa-fc3c07406f94_ActionId">
    <vt:lpwstr>a5baae33-3d0a-4e67-be57-f093e3943c6f</vt:lpwstr>
  </property>
  <property fmtid="{D5CDD505-2E9C-101B-9397-08002B2CF9AE}" pid="14" name="MSIP_Label_6bd9ddd1-4d20-43f6-abfa-fc3c07406f94_ContentBits">
    <vt:lpwstr>0</vt:lpwstr>
  </property>
  <property fmtid="{D5CDD505-2E9C-101B-9397-08002B2CF9AE}" pid="15" name="MSIP_Label_6bd9ddd1-4d20-43f6-abfa-fc3c07406f94_Enabled">
    <vt:lpwstr>true</vt:lpwstr>
  </property>
  <property fmtid="{D5CDD505-2E9C-101B-9397-08002B2CF9AE}" pid="16" name="MSIP_Label_6bd9ddd1-4d20-43f6-abfa-fc3c07406f94_Method">
    <vt:lpwstr>Standard</vt:lpwstr>
  </property>
  <property fmtid="{D5CDD505-2E9C-101B-9397-08002B2CF9AE}" pid="17" name="MSIP_Label_6bd9ddd1-4d20-43f6-abfa-fc3c07406f94_Name">
    <vt:lpwstr>Commission Use</vt:lpwstr>
  </property>
  <property fmtid="{D5CDD505-2E9C-101B-9397-08002B2CF9AE}" pid="18" name="MSIP_Label_6bd9ddd1-4d20-43f6-abfa-fc3c07406f94_SetDate">
    <vt:lpwstr>2023-10-30T08:14:25Z</vt:lpwstr>
  </property>
  <property fmtid="{D5CDD505-2E9C-101B-9397-08002B2CF9AE}" pid="19" name="MSIP_Label_6bd9ddd1-4d20-43f6-abfa-fc3c07406f94_SiteId">
    <vt:lpwstr>b24c8b06-522c-46fe-9080-70926f8dddb1</vt:lpwstr>
  </property>
  <property fmtid="{D5CDD505-2E9C-101B-9397-08002B2CF9AE}" pid="20" name="TemplateVersion">
    <vt:lpwstr>4.6.5.0000</vt:lpwstr>
  </property>
  <property fmtid="{D5CDD505-2E9C-101B-9397-08002B2CF9AE}" pid="21" name="Type">
    <vt:lpwstr>Eurolook Report</vt:lpwstr>
  </property>
</Properties>
</file>