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A0467" w:rsidRDefault="00583E74">
      <w:pPr>
        <w:spacing w:after="0"/>
        <w:jc w:val="left"/>
        <w:sectPr w:rsidR="00DA0467" w:rsidSect="00A90228">
          <w:headerReference w:type="even" r:id="rId10"/>
          <w:headerReference w:type="default" r:id="rId11"/>
          <w:footerReference w:type="even" r:id="rId12"/>
          <w:footerReference w:type="default" r:id="rId13"/>
          <w:headerReference w:type="first" r:id="rId14"/>
          <w:footerReference w:type="first" r:id="rId15"/>
          <w:pgSz w:w="11906" w:h="16838"/>
          <w:pgMar w:top="1020" w:right="1701" w:bottom="1020" w:left="1587" w:header="850" w:footer="1077" w:gutter="0"/>
          <w:cols w:space="720"/>
          <w:titlePg/>
          <w:docGrid w:linePitch="326"/>
        </w:sectPr>
      </w:pPr>
    </w:p>
    <w:p w:rsidR="00D81A2D" w:rsidRPr="00D81A2D" w:rsidRDefault="00583E74" w:rsidP="3E822945">
      <w:pPr>
        <w:pStyle w:val="Heading11"/>
        <w:numPr>
          <w:ilvl w:val="0"/>
          <w:numId w:val="0"/>
        </w:numPr>
        <w:jc w:val="center"/>
        <w:rPr>
          <w:bCs/>
          <w:sz w:val="28"/>
          <w:szCs w:val="28"/>
        </w:rPr>
      </w:pPr>
      <w:bookmarkStart w:id="0" w:name="_GoBack"/>
      <w:bookmarkEnd w:id="0"/>
      <w:r w:rsidRPr="3E822945">
        <w:rPr>
          <w:sz w:val="28"/>
          <w:szCs w:val="28"/>
          <w:lang w:val="en-IE"/>
        </w:rPr>
        <w:t>DOCUMENT UNIQUE</w:t>
      </w:r>
    </w:p>
    <w:p w:rsidR="00D81A2D" w:rsidRPr="00D81A2D" w:rsidRDefault="00583E74" w:rsidP="3E822945">
      <w:pPr>
        <w:pStyle w:val="Heading11"/>
        <w:numPr>
          <w:ilvl w:val="0"/>
          <w:numId w:val="0"/>
        </w:numPr>
        <w:jc w:val="center"/>
        <w:rPr>
          <w:bCs/>
          <w:szCs w:val="24"/>
        </w:rPr>
      </w:pPr>
      <w:r w:rsidRPr="3E822945">
        <w:t xml:space="preserve">Appellations d’origine </w:t>
      </w:r>
      <w:proofErr w:type="gramStart"/>
      <w:r w:rsidRPr="3E822945">
        <w:t>et</w:t>
      </w:r>
      <w:proofErr w:type="gramEnd"/>
      <w:r w:rsidRPr="3E822945">
        <w:t xml:space="preserve"> indications géographiques pour les produits agricoles</w:t>
      </w:r>
    </w:p>
    <w:p w:rsidR="00D81A2D" w:rsidRPr="00D81A2D" w:rsidRDefault="00583E74" w:rsidP="2840FFB6">
      <w:pPr>
        <w:pStyle w:val="Normal1"/>
        <w:spacing w:before="120" w:after="120"/>
        <w:jc w:val="center"/>
        <w:rPr>
          <w:szCs w:val="24"/>
          <w:lang w:val="fr-BE"/>
        </w:rPr>
      </w:pPr>
    </w:p>
    <w:p w:rsidR="00D81A2D" w:rsidRPr="00D81A2D" w:rsidRDefault="00583E74" w:rsidP="54167FA5">
      <w:pPr>
        <w:pStyle w:val="Subtitle10"/>
        <w:rPr>
          <w:rFonts w:ascii="Times New Roman" w:hAnsi="Times New Roman"/>
          <w:color w:val="000000"/>
          <w:szCs w:val="24"/>
          <w:lang w:val="fr-BE"/>
        </w:rPr>
      </w:pPr>
      <w:r w:rsidRPr="0097257E">
        <w:rPr>
          <w:rFonts w:ascii="Times New Roman" w:hAnsi="Times New Roman"/>
          <w:color w:val="000000"/>
          <w:szCs w:val="24"/>
          <w:lang w:val="fr-BE"/>
        </w:rPr>
        <w:t>‘Volailles de l'Orléanais’</w:t>
      </w:r>
    </w:p>
    <w:p w:rsidR="007404D7" w:rsidRPr="007404D7" w:rsidRDefault="00583E74" w:rsidP="007404D7">
      <w:pPr>
        <w:pStyle w:val="Subtitle10"/>
        <w:rPr>
          <w:rFonts w:ascii="Times New Roman" w:hAnsi="Times New Roman"/>
          <w:color w:val="000000"/>
          <w:szCs w:val="24"/>
          <w:lang w:val="fr-BE"/>
        </w:rPr>
      </w:pPr>
      <w:r w:rsidRPr="007404D7">
        <w:rPr>
          <w:rFonts w:ascii="Times New Roman" w:hAnsi="Times New Roman"/>
          <w:color w:val="000000"/>
          <w:szCs w:val="24"/>
          <w:lang w:val="fr-BE"/>
        </w:rPr>
        <w:t xml:space="preserve">Numéro de référence UE: DRAFT-PGI-FR-9150-AMD-STD_MSD - </w:t>
      </w:r>
      <w:r w:rsidRPr="007404D7">
        <w:rPr>
          <w:rFonts w:ascii="Times New Roman" w:hAnsi="Times New Roman"/>
          <w:color w:val="000000"/>
          <w:szCs w:val="24"/>
          <w:lang w:val="fr-BE"/>
        </w:rPr>
        <w:fldChar w:fldCharType="begin"/>
      </w:r>
      <w:r w:rsidRPr="007404D7">
        <w:rPr>
          <w:rFonts w:ascii="Times New Roman" w:hAnsi="Times New Roman"/>
          <w:color w:val="000000"/>
          <w:szCs w:val="24"/>
          <w:lang w:val="fr-BE"/>
        </w:rPr>
        <w:instrText xml:space="preserve">MERGEFIELD </w:instrText>
      </w:r>
      <w:r w:rsidRPr="007404D7">
        <w:rPr>
          <w:rFonts w:ascii="Times New Roman" w:hAnsi="Times New Roman"/>
          <w:color w:val="000000"/>
          <w:szCs w:val="24"/>
          <w:lang w:val="fr-BE"/>
        </w:rPr>
        <w:instrText>"date:submittedOn"</w:instrText>
      </w:r>
      <w:r w:rsidRPr="007404D7">
        <w:rPr>
          <w:rFonts w:ascii="Times New Roman" w:hAnsi="Times New Roman"/>
          <w:color w:val="000000"/>
          <w:szCs w:val="24"/>
          <w:lang w:val="fr-BE"/>
        </w:rPr>
        <w:fldChar w:fldCharType="separate"/>
      </w:r>
      <w:r w:rsidRPr="007404D7">
        <w:rPr>
          <w:rFonts w:ascii="Times New Roman" w:hAnsi="Times New Roman"/>
          <w:color w:val="000000"/>
          <w:szCs w:val="24"/>
          <w:lang w:val="fr-BE"/>
        </w:rPr>
        <w:t>-</w:t>
      </w:r>
      <w:r w:rsidRPr="007404D7">
        <w:rPr>
          <w:rFonts w:ascii="Times New Roman" w:hAnsi="Times New Roman"/>
          <w:color w:val="000000"/>
          <w:szCs w:val="24"/>
          <w:lang w:val="fr-BE"/>
        </w:rPr>
        <w:fldChar w:fldCharType="end"/>
      </w:r>
    </w:p>
    <w:p w:rsidR="0097257E" w:rsidRPr="0097257E" w:rsidRDefault="00583E74" w:rsidP="0097257E">
      <w:pPr>
        <w:pStyle w:val="Subtitle10"/>
        <w:rPr>
          <w:rFonts w:ascii="Times New Roman" w:hAnsi="Times New Roman"/>
          <w:color w:val="000000"/>
          <w:szCs w:val="24"/>
          <w:lang w:val="fr-BE"/>
        </w:rPr>
      </w:pPr>
    </w:p>
    <w:p w:rsidR="00472529" w:rsidRPr="00DE5C42" w:rsidRDefault="00583E74" w:rsidP="54167FA5">
      <w:pPr>
        <w:pStyle w:val="Subtitle10"/>
        <w:rPr>
          <w:rFonts w:ascii="Times New Roman" w:hAnsi="Times New Roman"/>
          <w:color w:val="000000"/>
          <w:szCs w:val="24"/>
          <w:highlight w:val="yellow"/>
          <w:lang w:val="fr-BE"/>
        </w:rPr>
      </w:pPr>
    </w:p>
    <w:p w:rsidR="00472529" w:rsidRPr="0097257E" w:rsidRDefault="00583E74" w:rsidP="12178343">
      <w:pPr>
        <w:pStyle w:val="Heading11"/>
        <w:ind w:left="450" w:hanging="450"/>
        <w:jc w:val="left"/>
        <w:rPr>
          <w:lang w:val="fr-BE"/>
        </w:rPr>
      </w:pPr>
      <w:r w:rsidRPr="12178343">
        <w:rPr>
          <w:lang w:val="fr-BE"/>
        </w:rPr>
        <w:t>Dénomination(s)</w:t>
      </w:r>
    </w:p>
    <w:p w:rsidR="42C16D6A" w:rsidRDefault="00583E74" w:rsidP="12178343">
      <w:pPr>
        <w:pStyle w:val="Normal1"/>
        <w:ind w:left="450"/>
        <w:jc w:val="left"/>
      </w:pPr>
      <w:r w:rsidRPr="6A961271">
        <w:rPr>
          <w:szCs w:val="24"/>
          <w:lang w:val="en-IE"/>
        </w:rPr>
        <w:t>‘</w:t>
      </w:r>
      <w:r>
        <w:t>Volailles de l'Orléanais</w:t>
      </w:r>
      <w:r>
        <w:t>’</w:t>
      </w:r>
    </w:p>
    <w:p w:rsidR="00814485" w:rsidRPr="00132807" w:rsidRDefault="00583E74" w:rsidP="12178343">
      <w:pPr>
        <w:pStyle w:val="Heading11"/>
        <w:ind w:left="450" w:hanging="450"/>
        <w:jc w:val="left"/>
      </w:pPr>
      <w:r>
        <w:t>Type d’indication géographique</w:t>
      </w:r>
    </w:p>
    <w:p w:rsidR="00814485" w:rsidRPr="00132807" w:rsidRDefault="00583E74" w:rsidP="12178343">
      <w:pPr>
        <w:pStyle w:val="Normal1"/>
        <w:ind w:left="450"/>
        <w:jc w:val="left"/>
        <w:rPr>
          <w:color w:val="000000"/>
        </w:rPr>
      </w:pPr>
      <w:r>
        <w:t>☐</w:t>
      </w:r>
      <w:r>
        <w:t xml:space="preserve"> </w:t>
      </w:r>
      <w:r>
        <w:t>AOP</w:t>
      </w:r>
    </w:p>
    <w:p w:rsidR="00814485" w:rsidRPr="00132807" w:rsidRDefault="00583E74" w:rsidP="12178343">
      <w:pPr>
        <w:pStyle w:val="Normal1"/>
        <w:ind w:left="450"/>
        <w:jc w:val="left"/>
        <w:rPr>
          <w:color w:val="000000"/>
        </w:rPr>
      </w:pPr>
      <w:r>
        <w:t>☑</w:t>
      </w:r>
      <w:r>
        <w:t xml:space="preserve"> </w:t>
      </w:r>
      <w:r>
        <w:t>IGP</w:t>
      </w:r>
    </w:p>
    <w:p w:rsidR="00814485" w:rsidRPr="00132807" w:rsidRDefault="00583E74" w:rsidP="12178343">
      <w:pPr>
        <w:pStyle w:val="Normal1"/>
        <w:ind w:left="450"/>
        <w:jc w:val="left"/>
      </w:pPr>
      <w:r>
        <w:t>☐</w:t>
      </w:r>
      <w:r>
        <w:t xml:space="preserve"> </w:t>
      </w:r>
      <w:r>
        <w:t>IG</w:t>
      </w:r>
    </w:p>
    <w:p w:rsidR="00472529" w:rsidRPr="00132807" w:rsidRDefault="00583E74" w:rsidP="3DFDAB3A">
      <w:pPr>
        <w:pStyle w:val="Heading11"/>
        <w:ind w:left="450" w:hanging="450"/>
        <w:jc w:val="left"/>
      </w:pPr>
      <w:r>
        <w:t>Pays dont fait partie l’aire géographique délimitée</w:t>
      </w:r>
    </w:p>
    <w:p w:rsidR="74F65803" w:rsidRDefault="00583E74" w:rsidP="3DFDAB3A">
      <w:pPr>
        <w:pStyle w:val="Normal1"/>
        <w:ind w:left="450"/>
        <w:jc w:val="left"/>
      </w:pPr>
      <w:r>
        <w:t>France</w:t>
      </w:r>
    </w:p>
    <w:p w:rsidR="0097257E" w:rsidRDefault="00583E74" w:rsidP="3DFDAB3A">
      <w:pPr>
        <w:pStyle w:val="Heading11"/>
        <w:ind w:left="450" w:hanging="450"/>
        <w:jc w:val="left"/>
      </w:pPr>
      <w:r>
        <w:t>Description du produit agricole</w:t>
      </w:r>
    </w:p>
    <w:p w:rsidR="28B8620F" w:rsidRDefault="00583E74" w:rsidP="3DFDAB3A">
      <w:pPr>
        <w:pStyle w:val="Heading21"/>
        <w:ind w:left="1080" w:hanging="630"/>
        <w:jc w:val="left"/>
      </w:pPr>
      <w:r>
        <w:t xml:space="preserve">Classement du produit agricole conformément à la </w:t>
      </w:r>
      <w:r>
        <w:t>position et au code de la nomenclature combinée, visé à l’article 6, paragraphe 1, du règlement (UE) 2024/1143</w:t>
      </w:r>
    </w:p>
    <w:p w:rsidR="4E6DC23D" w:rsidRDefault="00583E74" w:rsidP="3DFDAB3A">
      <w:pPr>
        <w:pStyle w:val="Normal1"/>
        <w:ind w:left="1080"/>
        <w:jc w:val="left"/>
      </w:pPr>
      <w:proofErr w:type="gramStart"/>
      <w:r>
        <w:t>02</w:t>
      </w:r>
      <w:proofErr w:type="gramEnd"/>
      <w:r>
        <w:t xml:space="preserve"> - VIANDES ET ABATS COMESTIBLES</w:t>
      </w:r>
    </w:p>
    <w:p w:rsidR="00BA44B2" w:rsidRPr="00A90228" w:rsidRDefault="00583E74" w:rsidP="3DFDAB3A">
      <w:pPr>
        <w:pStyle w:val="Heading21"/>
        <w:ind w:left="1080" w:hanging="630"/>
      </w:pPr>
      <w:r>
        <w:t>Description du produit agricole portant la dénomination enregistrée</w:t>
      </w:r>
    </w:p>
    <w:tbl>
      <w:tblPr>
        <w:tblStyle w:val="TableGrid0"/>
        <w:tblW w:w="0" w:type="auto"/>
        <w:tblInd w:w="993" w:type="dxa"/>
        <w:tblLayout w:type="fixed"/>
        <w:tblLook w:val="06A0" w:firstRow="1" w:lastRow="0" w:firstColumn="1" w:lastColumn="0" w:noHBand="1" w:noVBand="1"/>
      </w:tblPr>
      <w:tblGrid>
        <w:gridCol w:w="7440"/>
      </w:tblGrid>
      <w:tr w:rsidR="00D15A56" w:rsidTr="00256A1C">
        <w:trPr>
          <w:trHeight w:val="300"/>
        </w:trPr>
        <w:tc>
          <w:tcPr>
            <w:tcW w:w="7440" w:type="dxa"/>
            <w:tcBorders>
              <w:top w:val="nil"/>
              <w:left w:val="nil"/>
              <w:bottom w:val="nil"/>
              <w:right w:val="nil"/>
            </w:tcBorders>
          </w:tcPr>
          <w:p w:rsidR="7096B4A6" w:rsidRDefault="00583E74" w:rsidP="00DB50EE">
            <w:pPr>
              <w:pStyle w:val="Normal1"/>
            </w:pPr>
            <w:r>
              <w:t>Les « volailles de l’Orléanais » sont des o</w:t>
            </w:r>
            <w:r>
              <w:t xml:space="preserve">iseaux de l’ordre des galliformes. Elles appartiennent à différentes familles et comptent plusieurs types d’animaux : </w:t>
            </w:r>
          </w:p>
          <w:p w:rsidR="00D15A56" w:rsidRDefault="00583E74">
            <w:pPr>
              <w:pStyle w:val="Normal1"/>
              <w:numPr>
                <w:ilvl w:val="0"/>
                <w:numId w:val="35"/>
              </w:numPr>
            </w:pPr>
            <w:r>
              <w:t>Poulet, Poularde, Chapon</w:t>
            </w:r>
          </w:p>
          <w:p w:rsidR="00D15A56" w:rsidRDefault="00583E74">
            <w:pPr>
              <w:pStyle w:val="Normal1"/>
              <w:numPr>
                <w:ilvl w:val="0"/>
                <w:numId w:val="35"/>
              </w:numPr>
            </w:pPr>
            <w:r>
              <w:t>Pintade, Chapon de pintade</w:t>
            </w:r>
          </w:p>
          <w:p w:rsidR="00D15A56" w:rsidRDefault="00583E74">
            <w:pPr>
              <w:pStyle w:val="Normal1"/>
              <w:numPr>
                <w:ilvl w:val="0"/>
                <w:numId w:val="35"/>
              </w:numPr>
              <w:spacing w:after="280" w:afterAutospacing="1"/>
            </w:pPr>
            <w:r>
              <w:lastRenderedPageBreak/>
              <w:t xml:space="preserve">Dinde </w:t>
            </w:r>
          </w:p>
          <w:p w:rsidR="00D15A56" w:rsidRDefault="00583E74">
            <w:pPr>
              <w:pStyle w:val="Normal1"/>
              <w:spacing w:after="280" w:afterAutospacing="1"/>
            </w:pPr>
            <w:r>
              <w:t xml:space="preserve">Toutes sont issues de souches rustiques à croissance lente qui permettent une </w:t>
            </w:r>
            <w:r>
              <w:t xml:space="preserve">durée d’élevage longue et un abattage à la limite de la maturité sexuelle assurant ainsi une qualité optimale. </w:t>
            </w:r>
          </w:p>
          <w:p w:rsidR="00D15A56" w:rsidRDefault="00583E74">
            <w:pPr>
              <w:pStyle w:val="Normal1"/>
              <w:spacing w:after="280" w:afterAutospacing="1"/>
            </w:pPr>
            <w:r>
              <w:t>Elles sont élevées en plein air sur des parcours enherbés et arborés favorables à l’expression naturelle de ces souches pour exploiter les parco</w:t>
            </w:r>
            <w:r>
              <w:t xml:space="preserve">urs ou dans des volières avec perchoirs. </w:t>
            </w:r>
          </w:p>
          <w:p w:rsidR="00D15A56" w:rsidRDefault="00583E74">
            <w:pPr>
              <w:pStyle w:val="Normal1"/>
              <w:spacing w:after="280" w:afterAutospacing="1"/>
            </w:pPr>
            <w:r>
              <w:t>Ces conditions d’élevage, associées à une alimentation à base de céréales, permettent d’obtenir des « Volailles de l’Orléanais » se caractérisant par des carcasses charnues dont la chair est ferme (pour les volaill</w:t>
            </w:r>
            <w:r>
              <w:t>es crues). Elles présentent des filets rebondis et des dépôts de graisse marqués sur la face latérale des cuisses.</w:t>
            </w:r>
          </w:p>
          <w:p w:rsidR="00D15A56" w:rsidRDefault="00583E74">
            <w:pPr>
              <w:pStyle w:val="Normal1"/>
              <w:spacing w:after="280" w:afterAutospacing="1"/>
            </w:pPr>
            <w:r>
              <w:t>Selon les productions, les caractéristiques des produits finis sont les suivantes :</w:t>
            </w:r>
          </w:p>
          <w:tbl>
            <w:tblPr>
              <w:tblW w:w="0" w:type="auto"/>
              <w:tblCellSpacing w:w="15" w:type="dxa"/>
              <w:tblBorders>
                <w:top w:val="outset" w:sz="6" w:space="0" w:color="auto"/>
                <w:left w:val="outset" w:sz="6" w:space="0" w:color="auto"/>
                <w:bottom w:val="outset" w:sz="6" w:space="0" w:color="auto"/>
                <w:right w:val="outset" w:sz="6" w:space="0" w:color="auto"/>
              </w:tblBorders>
              <w:tblLayout w:type="fixed"/>
              <w:tblCellMar>
                <w:top w:w="15" w:type="dxa"/>
                <w:left w:w="15" w:type="dxa"/>
                <w:bottom w:w="15" w:type="dxa"/>
                <w:right w:w="15" w:type="dxa"/>
              </w:tblCellMar>
              <w:tblLook w:val="04A0" w:firstRow="1" w:lastRow="0" w:firstColumn="1" w:lastColumn="0" w:noHBand="0" w:noVBand="1"/>
            </w:tblPr>
            <w:tblGrid>
              <w:gridCol w:w="1877"/>
              <w:gridCol w:w="2452"/>
              <w:gridCol w:w="1260"/>
              <w:gridCol w:w="1747"/>
            </w:tblGrid>
            <w:tr w:rsidR="00D15A56">
              <w:trPr>
                <w:tblCellSpacing w:w="15" w:type="dxa"/>
              </w:trPr>
              <w:tc>
                <w:tcPr>
                  <w:tcW w:w="1832" w:type="dxa"/>
                  <w:vMerge w:val="restart"/>
                  <w:tcBorders>
                    <w:top w:val="outset" w:sz="6" w:space="0" w:color="auto"/>
                    <w:left w:val="outset" w:sz="6" w:space="0" w:color="auto"/>
                    <w:bottom w:val="outset" w:sz="6" w:space="0" w:color="auto"/>
                    <w:right w:val="outset" w:sz="6" w:space="0" w:color="auto"/>
                  </w:tcBorders>
                  <w:vAlign w:val="center"/>
                </w:tcPr>
                <w:p w:rsidR="00D15A56" w:rsidRDefault="00D15A56">
                  <w:pPr>
                    <w:pStyle w:val="Normal1"/>
                    <w:spacing w:after="280" w:afterAutospacing="1"/>
                  </w:pPr>
                </w:p>
                <w:p w:rsidR="00D15A56" w:rsidRDefault="00D15A56">
                  <w:pPr>
                    <w:pStyle w:val="Normal1"/>
                    <w:spacing w:after="0"/>
                  </w:pPr>
                </w:p>
              </w:tc>
              <w:tc>
                <w:tcPr>
                  <w:tcW w:w="2422" w:type="dxa"/>
                  <w:vMerge w:val="restart"/>
                  <w:tcBorders>
                    <w:top w:val="outset" w:sz="6" w:space="0" w:color="auto"/>
                    <w:left w:val="outset" w:sz="6" w:space="0" w:color="auto"/>
                    <w:bottom w:val="outset" w:sz="6" w:space="0" w:color="auto"/>
                    <w:right w:val="outset" w:sz="6" w:space="0" w:color="auto"/>
                  </w:tcBorders>
                  <w:vAlign w:val="center"/>
                </w:tcPr>
                <w:p w:rsidR="00D15A56" w:rsidRDefault="00583E74">
                  <w:pPr>
                    <w:pStyle w:val="Normal1"/>
                    <w:spacing w:after="0"/>
                  </w:pPr>
                  <w:r>
                    <w:t>Age minimum d’abattage</w:t>
                  </w:r>
                </w:p>
              </w:tc>
              <w:tc>
                <w:tcPr>
                  <w:tcW w:w="2962" w:type="dxa"/>
                  <w:gridSpan w:val="2"/>
                  <w:tcBorders>
                    <w:top w:val="outset" w:sz="6" w:space="0" w:color="auto"/>
                    <w:left w:val="outset" w:sz="6" w:space="0" w:color="auto"/>
                    <w:bottom w:val="outset" w:sz="6" w:space="0" w:color="auto"/>
                    <w:right w:val="outset" w:sz="6" w:space="0" w:color="auto"/>
                  </w:tcBorders>
                  <w:vAlign w:val="center"/>
                </w:tcPr>
                <w:p w:rsidR="00D15A56" w:rsidRDefault="00583E74">
                  <w:pPr>
                    <w:pStyle w:val="Normal1"/>
                    <w:spacing w:after="0"/>
                  </w:pPr>
                  <w:r>
                    <w:t>Poids minimum (kg)</w:t>
                  </w:r>
                </w:p>
              </w:tc>
            </w:tr>
            <w:tr w:rsidR="00D15A56">
              <w:trPr>
                <w:tblCellSpacing w:w="15" w:type="dxa"/>
              </w:trPr>
              <w:tc>
                <w:tcPr>
                  <w:tcW w:w="1832" w:type="dxa"/>
                  <w:vMerge/>
                  <w:tcBorders>
                    <w:top w:val="outset" w:sz="6" w:space="0" w:color="auto"/>
                    <w:left w:val="outset" w:sz="6" w:space="0" w:color="auto"/>
                    <w:bottom w:val="outset" w:sz="6" w:space="0" w:color="auto"/>
                    <w:right w:val="outset" w:sz="6" w:space="0" w:color="auto"/>
                  </w:tcBorders>
                  <w:vAlign w:val="center"/>
                </w:tcPr>
                <w:p w:rsidR="00D15A56" w:rsidRDefault="00D15A56">
                  <w:pPr>
                    <w:pStyle w:val="Normal1"/>
                    <w:spacing w:after="0"/>
                  </w:pPr>
                </w:p>
              </w:tc>
              <w:tc>
                <w:tcPr>
                  <w:tcW w:w="2422" w:type="dxa"/>
                  <w:vMerge/>
                  <w:tcBorders>
                    <w:top w:val="outset" w:sz="6" w:space="0" w:color="auto"/>
                    <w:left w:val="outset" w:sz="6" w:space="0" w:color="auto"/>
                    <w:bottom w:val="outset" w:sz="6" w:space="0" w:color="auto"/>
                    <w:right w:val="outset" w:sz="6" w:space="0" w:color="auto"/>
                  </w:tcBorders>
                  <w:vAlign w:val="center"/>
                </w:tcPr>
                <w:p w:rsidR="00D15A56" w:rsidRDefault="00D15A56">
                  <w:pPr>
                    <w:pStyle w:val="Normal1"/>
                    <w:spacing w:after="0"/>
                  </w:pPr>
                </w:p>
              </w:tc>
              <w:tc>
                <w:tcPr>
                  <w:tcW w:w="1230" w:type="dxa"/>
                  <w:tcBorders>
                    <w:top w:val="outset" w:sz="6" w:space="0" w:color="auto"/>
                    <w:left w:val="outset" w:sz="6" w:space="0" w:color="auto"/>
                    <w:bottom w:val="outset" w:sz="6" w:space="0" w:color="auto"/>
                    <w:right w:val="outset" w:sz="6" w:space="0" w:color="auto"/>
                  </w:tcBorders>
                  <w:vAlign w:val="center"/>
                </w:tcPr>
                <w:p w:rsidR="00D15A56" w:rsidRDefault="00583E74">
                  <w:pPr>
                    <w:pStyle w:val="Normal1"/>
                    <w:spacing w:after="0"/>
                  </w:pPr>
                  <w:r>
                    <w:t xml:space="preserve">Effilé </w:t>
                  </w:r>
                </w:p>
              </w:tc>
              <w:tc>
                <w:tcPr>
                  <w:tcW w:w="1702" w:type="dxa"/>
                  <w:tcBorders>
                    <w:top w:val="outset" w:sz="6" w:space="0" w:color="auto"/>
                    <w:left w:val="outset" w:sz="6" w:space="0" w:color="auto"/>
                    <w:bottom w:val="outset" w:sz="6" w:space="0" w:color="auto"/>
                    <w:right w:val="outset" w:sz="6" w:space="0" w:color="auto"/>
                  </w:tcBorders>
                  <w:vAlign w:val="center"/>
                </w:tcPr>
                <w:p w:rsidR="00D15A56" w:rsidRDefault="00583E74">
                  <w:pPr>
                    <w:pStyle w:val="Normal1"/>
                    <w:spacing w:after="0"/>
                  </w:pPr>
                  <w:r>
                    <w:t>Prêt à Cuire (PAC)</w:t>
                  </w:r>
                </w:p>
              </w:tc>
            </w:tr>
            <w:tr w:rsidR="00D15A56">
              <w:trPr>
                <w:tblCellSpacing w:w="15" w:type="dxa"/>
              </w:trPr>
              <w:tc>
                <w:tcPr>
                  <w:tcW w:w="1832" w:type="dxa"/>
                  <w:tcBorders>
                    <w:top w:val="outset" w:sz="6" w:space="0" w:color="auto"/>
                    <w:left w:val="outset" w:sz="6" w:space="0" w:color="auto"/>
                    <w:bottom w:val="outset" w:sz="6" w:space="0" w:color="auto"/>
                    <w:right w:val="outset" w:sz="6" w:space="0" w:color="auto"/>
                  </w:tcBorders>
                  <w:vAlign w:val="center"/>
                </w:tcPr>
                <w:p w:rsidR="00D15A56" w:rsidRDefault="00583E74">
                  <w:pPr>
                    <w:pStyle w:val="Normal1"/>
                    <w:spacing w:after="0"/>
                  </w:pPr>
                  <w:r>
                    <w:t>Poulet</w:t>
                  </w:r>
                </w:p>
              </w:tc>
              <w:tc>
                <w:tcPr>
                  <w:tcW w:w="2422" w:type="dxa"/>
                  <w:tcBorders>
                    <w:top w:val="outset" w:sz="6" w:space="0" w:color="auto"/>
                    <w:left w:val="outset" w:sz="6" w:space="0" w:color="auto"/>
                    <w:bottom w:val="outset" w:sz="6" w:space="0" w:color="auto"/>
                    <w:right w:val="outset" w:sz="6" w:space="0" w:color="auto"/>
                  </w:tcBorders>
                  <w:vAlign w:val="center"/>
                </w:tcPr>
                <w:p w:rsidR="00D15A56" w:rsidRDefault="00583E74">
                  <w:pPr>
                    <w:pStyle w:val="Normal1"/>
                    <w:spacing w:after="0"/>
                  </w:pPr>
                  <w:r>
                    <w:t>81 jours</w:t>
                  </w:r>
                </w:p>
              </w:tc>
              <w:tc>
                <w:tcPr>
                  <w:tcW w:w="1230" w:type="dxa"/>
                  <w:tcBorders>
                    <w:top w:val="outset" w:sz="6" w:space="0" w:color="auto"/>
                    <w:left w:val="outset" w:sz="6" w:space="0" w:color="auto"/>
                    <w:bottom w:val="outset" w:sz="6" w:space="0" w:color="auto"/>
                    <w:right w:val="outset" w:sz="6" w:space="0" w:color="auto"/>
                  </w:tcBorders>
                  <w:vAlign w:val="center"/>
                </w:tcPr>
                <w:p w:rsidR="00D15A56" w:rsidRDefault="00583E74">
                  <w:pPr>
                    <w:pStyle w:val="Normal1"/>
                    <w:spacing w:after="0"/>
                  </w:pPr>
                  <w:r>
                    <w:t xml:space="preserve">1,3 </w:t>
                  </w:r>
                </w:p>
              </w:tc>
              <w:tc>
                <w:tcPr>
                  <w:tcW w:w="1702" w:type="dxa"/>
                  <w:tcBorders>
                    <w:top w:val="outset" w:sz="6" w:space="0" w:color="auto"/>
                    <w:left w:val="outset" w:sz="6" w:space="0" w:color="auto"/>
                    <w:bottom w:val="outset" w:sz="6" w:space="0" w:color="auto"/>
                    <w:right w:val="outset" w:sz="6" w:space="0" w:color="auto"/>
                  </w:tcBorders>
                  <w:vAlign w:val="center"/>
                </w:tcPr>
                <w:p w:rsidR="00D15A56" w:rsidRDefault="00583E74">
                  <w:pPr>
                    <w:pStyle w:val="Normal1"/>
                    <w:spacing w:after="0"/>
                  </w:pPr>
                  <w:r>
                    <w:t>1</w:t>
                  </w:r>
                </w:p>
              </w:tc>
            </w:tr>
            <w:tr w:rsidR="00D15A56">
              <w:trPr>
                <w:tblCellSpacing w:w="15" w:type="dxa"/>
              </w:trPr>
              <w:tc>
                <w:tcPr>
                  <w:tcW w:w="1832" w:type="dxa"/>
                  <w:tcBorders>
                    <w:top w:val="outset" w:sz="6" w:space="0" w:color="auto"/>
                    <w:left w:val="outset" w:sz="6" w:space="0" w:color="auto"/>
                    <w:bottom w:val="outset" w:sz="6" w:space="0" w:color="auto"/>
                    <w:right w:val="outset" w:sz="6" w:space="0" w:color="auto"/>
                  </w:tcBorders>
                  <w:vAlign w:val="center"/>
                </w:tcPr>
                <w:p w:rsidR="00D15A56" w:rsidRDefault="00583E74">
                  <w:pPr>
                    <w:pStyle w:val="Normal1"/>
                    <w:spacing w:after="0"/>
                  </w:pPr>
                  <w:r>
                    <w:t>Chapon</w:t>
                  </w:r>
                </w:p>
              </w:tc>
              <w:tc>
                <w:tcPr>
                  <w:tcW w:w="2422" w:type="dxa"/>
                  <w:tcBorders>
                    <w:top w:val="outset" w:sz="6" w:space="0" w:color="auto"/>
                    <w:left w:val="outset" w:sz="6" w:space="0" w:color="auto"/>
                    <w:bottom w:val="outset" w:sz="6" w:space="0" w:color="auto"/>
                    <w:right w:val="outset" w:sz="6" w:space="0" w:color="auto"/>
                  </w:tcBorders>
                  <w:vAlign w:val="center"/>
                </w:tcPr>
                <w:p w:rsidR="00D15A56" w:rsidRDefault="00583E74">
                  <w:pPr>
                    <w:pStyle w:val="Normal1"/>
                    <w:spacing w:after="0"/>
                  </w:pPr>
                  <w:r>
                    <w:t>150 jours</w:t>
                  </w:r>
                </w:p>
              </w:tc>
              <w:tc>
                <w:tcPr>
                  <w:tcW w:w="1230" w:type="dxa"/>
                  <w:tcBorders>
                    <w:top w:val="outset" w:sz="6" w:space="0" w:color="auto"/>
                    <w:left w:val="outset" w:sz="6" w:space="0" w:color="auto"/>
                    <w:bottom w:val="outset" w:sz="6" w:space="0" w:color="auto"/>
                    <w:right w:val="outset" w:sz="6" w:space="0" w:color="auto"/>
                  </w:tcBorders>
                  <w:vAlign w:val="center"/>
                </w:tcPr>
                <w:p w:rsidR="00D15A56" w:rsidRDefault="00583E74">
                  <w:pPr>
                    <w:pStyle w:val="Normal1"/>
                    <w:spacing w:after="0"/>
                  </w:pPr>
                  <w:r>
                    <w:t>2,9</w:t>
                  </w:r>
                </w:p>
              </w:tc>
              <w:tc>
                <w:tcPr>
                  <w:tcW w:w="1702" w:type="dxa"/>
                  <w:tcBorders>
                    <w:top w:val="outset" w:sz="6" w:space="0" w:color="auto"/>
                    <w:left w:val="outset" w:sz="6" w:space="0" w:color="auto"/>
                    <w:bottom w:val="outset" w:sz="6" w:space="0" w:color="auto"/>
                    <w:right w:val="outset" w:sz="6" w:space="0" w:color="auto"/>
                  </w:tcBorders>
                  <w:vAlign w:val="center"/>
                </w:tcPr>
                <w:p w:rsidR="00D15A56" w:rsidRDefault="00583E74">
                  <w:pPr>
                    <w:pStyle w:val="Normal1"/>
                    <w:spacing w:after="0"/>
                  </w:pPr>
                  <w:r>
                    <w:t>2,5</w:t>
                  </w:r>
                </w:p>
              </w:tc>
            </w:tr>
            <w:tr w:rsidR="00D15A56">
              <w:trPr>
                <w:tblCellSpacing w:w="15" w:type="dxa"/>
              </w:trPr>
              <w:tc>
                <w:tcPr>
                  <w:tcW w:w="1832" w:type="dxa"/>
                  <w:tcBorders>
                    <w:top w:val="outset" w:sz="6" w:space="0" w:color="auto"/>
                    <w:left w:val="outset" w:sz="6" w:space="0" w:color="auto"/>
                    <w:bottom w:val="outset" w:sz="6" w:space="0" w:color="auto"/>
                    <w:right w:val="outset" w:sz="6" w:space="0" w:color="auto"/>
                  </w:tcBorders>
                  <w:vAlign w:val="center"/>
                </w:tcPr>
                <w:p w:rsidR="00D15A56" w:rsidRDefault="00583E74">
                  <w:pPr>
                    <w:pStyle w:val="Normal1"/>
                    <w:spacing w:after="0"/>
                  </w:pPr>
                  <w:r>
                    <w:t>Poularde</w:t>
                  </w:r>
                </w:p>
              </w:tc>
              <w:tc>
                <w:tcPr>
                  <w:tcW w:w="2422" w:type="dxa"/>
                  <w:tcBorders>
                    <w:top w:val="outset" w:sz="6" w:space="0" w:color="auto"/>
                    <w:left w:val="outset" w:sz="6" w:space="0" w:color="auto"/>
                    <w:bottom w:val="outset" w:sz="6" w:space="0" w:color="auto"/>
                    <w:right w:val="outset" w:sz="6" w:space="0" w:color="auto"/>
                  </w:tcBorders>
                  <w:vAlign w:val="center"/>
                </w:tcPr>
                <w:p w:rsidR="00D15A56" w:rsidRDefault="00583E74">
                  <w:pPr>
                    <w:pStyle w:val="Normal1"/>
                    <w:spacing w:after="0"/>
                  </w:pPr>
                  <w:r>
                    <w:t>120 jours</w:t>
                  </w:r>
                </w:p>
              </w:tc>
              <w:tc>
                <w:tcPr>
                  <w:tcW w:w="1230" w:type="dxa"/>
                  <w:tcBorders>
                    <w:top w:val="outset" w:sz="6" w:space="0" w:color="auto"/>
                    <w:left w:val="outset" w:sz="6" w:space="0" w:color="auto"/>
                    <w:bottom w:val="outset" w:sz="6" w:space="0" w:color="auto"/>
                    <w:right w:val="outset" w:sz="6" w:space="0" w:color="auto"/>
                  </w:tcBorders>
                  <w:vAlign w:val="center"/>
                </w:tcPr>
                <w:p w:rsidR="00D15A56" w:rsidRDefault="00583E74">
                  <w:pPr>
                    <w:pStyle w:val="Normal1"/>
                    <w:spacing w:after="0"/>
                  </w:pPr>
                  <w:r>
                    <w:t>1,95</w:t>
                  </w:r>
                </w:p>
              </w:tc>
              <w:tc>
                <w:tcPr>
                  <w:tcW w:w="1702" w:type="dxa"/>
                  <w:tcBorders>
                    <w:top w:val="outset" w:sz="6" w:space="0" w:color="auto"/>
                    <w:left w:val="outset" w:sz="6" w:space="0" w:color="auto"/>
                    <w:bottom w:val="outset" w:sz="6" w:space="0" w:color="auto"/>
                    <w:right w:val="outset" w:sz="6" w:space="0" w:color="auto"/>
                  </w:tcBorders>
                  <w:vAlign w:val="center"/>
                </w:tcPr>
                <w:p w:rsidR="00D15A56" w:rsidRDefault="00583E74">
                  <w:pPr>
                    <w:pStyle w:val="Normal1"/>
                    <w:spacing w:after="0"/>
                  </w:pPr>
                  <w:r>
                    <w:t>1,65</w:t>
                  </w:r>
                </w:p>
              </w:tc>
            </w:tr>
            <w:tr w:rsidR="00D15A56">
              <w:trPr>
                <w:tblCellSpacing w:w="15" w:type="dxa"/>
              </w:trPr>
              <w:tc>
                <w:tcPr>
                  <w:tcW w:w="1832" w:type="dxa"/>
                  <w:tcBorders>
                    <w:top w:val="outset" w:sz="6" w:space="0" w:color="auto"/>
                    <w:left w:val="outset" w:sz="6" w:space="0" w:color="auto"/>
                    <w:bottom w:val="outset" w:sz="6" w:space="0" w:color="auto"/>
                    <w:right w:val="outset" w:sz="6" w:space="0" w:color="auto"/>
                  </w:tcBorders>
                  <w:vAlign w:val="center"/>
                </w:tcPr>
                <w:p w:rsidR="00D15A56" w:rsidRDefault="00583E74">
                  <w:pPr>
                    <w:pStyle w:val="Normal1"/>
                    <w:spacing w:after="0"/>
                  </w:pPr>
                  <w:r>
                    <w:t>Pintade</w:t>
                  </w:r>
                </w:p>
              </w:tc>
              <w:tc>
                <w:tcPr>
                  <w:tcW w:w="2422" w:type="dxa"/>
                  <w:tcBorders>
                    <w:top w:val="outset" w:sz="6" w:space="0" w:color="auto"/>
                    <w:left w:val="outset" w:sz="6" w:space="0" w:color="auto"/>
                    <w:bottom w:val="outset" w:sz="6" w:space="0" w:color="auto"/>
                    <w:right w:val="outset" w:sz="6" w:space="0" w:color="auto"/>
                  </w:tcBorders>
                  <w:vAlign w:val="center"/>
                </w:tcPr>
                <w:p w:rsidR="00D15A56" w:rsidRDefault="00583E74">
                  <w:pPr>
                    <w:pStyle w:val="Normal1"/>
                    <w:spacing w:after="0"/>
                  </w:pPr>
                  <w:r>
                    <w:t>94 jours</w:t>
                  </w:r>
                </w:p>
              </w:tc>
              <w:tc>
                <w:tcPr>
                  <w:tcW w:w="1230" w:type="dxa"/>
                  <w:tcBorders>
                    <w:top w:val="outset" w:sz="6" w:space="0" w:color="auto"/>
                    <w:left w:val="outset" w:sz="6" w:space="0" w:color="auto"/>
                    <w:bottom w:val="outset" w:sz="6" w:space="0" w:color="auto"/>
                    <w:right w:val="outset" w:sz="6" w:space="0" w:color="auto"/>
                  </w:tcBorders>
                  <w:vAlign w:val="center"/>
                </w:tcPr>
                <w:p w:rsidR="00D15A56" w:rsidRDefault="00583E74">
                  <w:pPr>
                    <w:pStyle w:val="Normal1"/>
                    <w:spacing w:after="0"/>
                  </w:pPr>
                  <w:r>
                    <w:t>1,1</w:t>
                  </w:r>
                </w:p>
              </w:tc>
              <w:tc>
                <w:tcPr>
                  <w:tcW w:w="1702" w:type="dxa"/>
                  <w:tcBorders>
                    <w:top w:val="outset" w:sz="6" w:space="0" w:color="auto"/>
                    <w:left w:val="outset" w:sz="6" w:space="0" w:color="auto"/>
                    <w:bottom w:val="outset" w:sz="6" w:space="0" w:color="auto"/>
                    <w:right w:val="outset" w:sz="6" w:space="0" w:color="auto"/>
                  </w:tcBorders>
                  <w:vAlign w:val="center"/>
                </w:tcPr>
                <w:p w:rsidR="00D15A56" w:rsidRDefault="00583E74">
                  <w:pPr>
                    <w:pStyle w:val="Normal1"/>
                    <w:spacing w:after="0"/>
                  </w:pPr>
                  <w:r>
                    <w:t>0,85</w:t>
                  </w:r>
                </w:p>
              </w:tc>
            </w:tr>
            <w:tr w:rsidR="00D15A56">
              <w:trPr>
                <w:tblCellSpacing w:w="15" w:type="dxa"/>
              </w:trPr>
              <w:tc>
                <w:tcPr>
                  <w:tcW w:w="1832" w:type="dxa"/>
                  <w:tcBorders>
                    <w:top w:val="outset" w:sz="6" w:space="0" w:color="auto"/>
                    <w:left w:val="outset" w:sz="6" w:space="0" w:color="auto"/>
                    <w:bottom w:val="outset" w:sz="6" w:space="0" w:color="auto"/>
                    <w:right w:val="outset" w:sz="6" w:space="0" w:color="auto"/>
                  </w:tcBorders>
                  <w:vAlign w:val="center"/>
                </w:tcPr>
                <w:p w:rsidR="00D15A56" w:rsidRDefault="00583E74">
                  <w:pPr>
                    <w:pStyle w:val="Normal1"/>
                    <w:spacing w:after="0"/>
                  </w:pPr>
                  <w:r>
                    <w:t>Chapon de pintade</w:t>
                  </w:r>
                </w:p>
              </w:tc>
              <w:tc>
                <w:tcPr>
                  <w:tcW w:w="2422" w:type="dxa"/>
                  <w:tcBorders>
                    <w:top w:val="outset" w:sz="6" w:space="0" w:color="auto"/>
                    <w:left w:val="outset" w:sz="6" w:space="0" w:color="auto"/>
                    <w:bottom w:val="outset" w:sz="6" w:space="0" w:color="auto"/>
                    <w:right w:val="outset" w:sz="6" w:space="0" w:color="auto"/>
                  </w:tcBorders>
                  <w:vAlign w:val="center"/>
                </w:tcPr>
                <w:p w:rsidR="00D15A56" w:rsidRDefault="00583E74">
                  <w:pPr>
                    <w:pStyle w:val="Normal1"/>
                    <w:spacing w:after="0"/>
                  </w:pPr>
                  <w:r>
                    <w:t>150 jours</w:t>
                  </w:r>
                </w:p>
              </w:tc>
              <w:tc>
                <w:tcPr>
                  <w:tcW w:w="1230" w:type="dxa"/>
                  <w:tcBorders>
                    <w:top w:val="outset" w:sz="6" w:space="0" w:color="auto"/>
                    <w:left w:val="outset" w:sz="6" w:space="0" w:color="auto"/>
                    <w:bottom w:val="outset" w:sz="6" w:space="0" w:color="auto"/>
                    <w:right w:val="outset" w:sz="6" w:space="0" w:color="auto"/>
                  </w:tcBorders>
                  <w:vAlign w:val="center"/>
                </w:tcPr>
                <w:p w:rsidR="00D15A56" w:rsidRDefault="00583E74">
                  <w:pPr>
                    <w:pStyle w:val="Normal1"/>
                    <w:spacing w:after="0"/>
                  </w:pPr>
                  <w:r>
                    <w:t>1,8</w:t>
                  </w:r>
                </w:p>
              </w:tc>
              <w:tc>
                <w:tcPr>
                  <w:tcW w:w="1702" w:type="dxa"/>
                  <w:tcBorders>
                    <w:top w:val="outset" w:sz="6" w:space="0" w:color="auto"/>
                    <w:left w:val="outset" w:sz="6" w:space="0" w:color="auto"/>
                    <w:bottom w:val="outset" w:sz="6" w:space="0" w:color="auto"/>
                    <w:right w:val="outset" w:sz="6" w:space="0" w:color="auto"/>
                  </w:tcBorders>
                  <w:vAlign w:val="center"/>
                </w:tcPr>
                <w:p w:rsidR="00D15A56" w:rsidRDefault="00583E74">
                  <w:pPr>
                    <w:pStyle w:val="Normal1"/>
                    <w:spacing w:after="0"/>
                  </w:pPr>
                  <w:r>
                    <w:t>1,4</w:t>
                  </w:r>
                </w:p>
              </w:tc>
            </w:tr>
            <w:tr w:rsidR="00D15A56">
              <w:trPr>
                <w:tblCellSpacing w:w="15" w:type="dxa"/>
              </w:trPr>
              <w:tc>
                <w:tcPr>
                  <w:tcW w:w="1832" w:type="dxa"/>
                  <w:tcBorders>
                    <w:top w:val="outset" w:sz="6" w:space="0" w:color="auto"/>
                    <w:left w:val="outset" w:sz="6" w:space="0" w:color="auto"/>
                    <w:bottom w:val="outset" w:sz="6" w:space="0" w:color="auto"/>
                    <w:right w:val="outset" w:sz="6" w:space="0" w:color="auto"/>
                  </w:tcBorders>
                  <w:vAlign w:val="center"/>
                </w:tcPr>
                <w:p w:rsidR="00D15A56" w:rsidRDefault="00583E74">
                  <w:pPr>
                    <w:pStyle w:val="Normal1"/>
                    <w:spacing w:after="0"/>
                  </w:pPr>
                  <w:r>
                    <w:t xml:space="preserve">Dinde </w:t>
                  </w:r>
                </w:p>
              </w:tc>
              <w:tc>
                <w:tcPr>
                  <w:tcW w:w="2422" w:type="dxa"/>
                  <w:tcBorders>
                    <w:top w:val="outset" w:sz="6" w:space="0" w:color="auto"/>
                    <w:left w:val="outset" w:sz="6" w:space="0" w:color="auto"/>
                    <w:bottom w:val="outset" w:sz="6" w:space="0" w:color="auto"/>
                    <w:right w:val="outset" w:sz="6" w:space="0" w:color="auto"/>
                  </w:tcBorders>
                  <w:vAlign w:val="center"/>
                </w:tcPr>
                <w:p w:rsidR="00D15A56" w:rsidRDefault="00583E74">
                  <w:pPr>
                    <w:pStyle w:val="Normal1"/>
                    <w:spacing w:after="0"/>
                  </w:pPr>
                  <w:r>
                    <w:t>140 jours</w:t>
                  </w:r>
                </w:p>
              </w:tc>
              <w:tc>
                <w:tcPr>
                  <w:tcW w:w="1230" w:type="dxa"/>
                  <w:tcBorders>
                    <w:top w:val="outset" w:sz="6" w:space="0" w:color="auto"/>
                    <w:left w:val="outset" w:sz="6" w:space="0" w:color="auto"/>
                    <w:bottom w:val="outset" w:sz="6" w:space="0" w:color="auto"/>
                    <w:right w:val="outset" w:sz="6" w:space="0" w:color="auto"/>
                  </w:tcBorders>
                  <w:vAlign w:val="center"/>
                </w:tcPr>
                <w:p w:rsidR="00D15A56" w:rsidRDefault="00583E74">
                  <w:pPr>
                    <w:pStyle w:val="Normal1"/>
                    <w:spacing w:after="280" w:afterAutospacing="1"/>
                  </w:pPr>
                  <w:r>
                    <w:t xml:space="preserve">Mâle : 3,6 </w:t>
                  </w:r>
                </w:p>
                <w:p w:rsidR="00D15A56" w:rsidRDefault="00583E74">
                  <w:pPr>
                    <w:pStyle w:val="Normal1"/>
                    <w:spacing w:after="0"/>
                  </w:pPr>
                  <w:r>
                    <w:t>Femelle : 2,7</w:t>
                  </w:r>
                </w:p>
              </w:tc>
              <w:tc>
                <w:tcPr>
                  <w:tcW w:w="1702" w:type="dxa"/>
                  <w:tcBorders>
                    <w:top w:val="outset" w:sz="6" w:space="0" w:color="auto"/>
                    <w:left w:val="outset" w:sz="6" w:space="0" w:color="auto"/>
                    <w:bottom w:val="outset" w:sz="6" w:space="0" w:color="auto"/>
                    <w:right w:val="outset" w:sz="6" w:space="0" w:color="auto"/>
                  </w:tcBorders>
                  <w:vAlign w:val="center"/>
                </w:tcPr>
                <w:p w:rsidR="00D15A56" w:rsidRDefault="00583E74">
                  <w:pPr>
                    <w:pStyle w:val="Normal1"/>
                    <w:spacing w:after="280" w:afterAutospacing="1"/>
                  </w:pPr>
                  <w:r>
                    <w:t xml:space="preserve">Mâle : 3,1 </w:t>
                  </w:r>
                </w:p>
                <w:p w:rsidR="00D15A56" w:rsidRDefault="00583E74">
                  <w:pPr>
                    <w:pStyle w:val="Normal1"/>
                    <w:spacing w:after="0"/>
                  </w:pPr>
                  <w:r>
                    <w:t>Femelle : 2,3</w:t>
                  </w:r>
                </w:p>
              </w:tc>
            </w:tr>
          </w:tbl>
          <w:p w:rsidR="00D15A56" w:rsidRDefault="00D15A56">
            <w:pPr>
              <w:pStyle w:val="Normal1"/>
              <w:spacing w:after="280" w:afterAutospacing="1"/>
            </w:pPr>
          </w:p>
          <w:p w:rsidR="00D15A56" w:rsidRDefault="00583E74">
            <w:pPr>
              <w:pStyle w:val="Normal1"/>
              <w:spacing w:after="280" w:afterAutospacing="1"/>
            </w:pPr>
            <w:r>
              <w:t xml:space="preserve">Les pièces entières sont issues de carcasses de classe A. </w:t>
            </w:r>
          </w:p>
          <w:p w:rsidR="00D15A56" w:rsidRDefault="00583E74">
            <w:pPr>
              <w:pStyle w:val="Normal1"/>
              <w:spacing w:after="280" w:afterAutospacing="1"/>
            </w:pPr>
            <w:r>
              <w:t xml:space="preserve">Les découpes peuvent provenir de carcasses : </w:t>
            </w:r>
          </w:p>
          <w:p w:rsidR="00D15A56" w:rsidRDefault="00583E74">
            <w:pPr>
              <w:pStyle w:val="Normal1"/>
              <w:numPr>
                <w:ilvl w:val="0"/>
                <w:numId w:val="36"/>
              </w:numPr>
            </w:pPr>
            <w:r>
              <w:t xml:space="preserve">Classe A ou présentant de légers défauts, mais les morceaux retenus doivent être conformes aux critères de présentation de la classe A ; </w:t>
            </w:r>
          </w:p>
          <w:p w:rsidR="00D15A56" w:rsidRDefault="00583E74">
            <w:pPr>
              <w:pStyle w:val="Normal1"/>
              <w:numPr>
                <w:ilvl w:val="0"/>
                <w:numId w:val="36"/>
              </w:numPr>
              <w:spacing w:after="280" w:afterAutospacing="1"/>
            </w:pPr>
            <w:proofErr w:type="gramStart"/>
            <w:r>
              <w:t>dont</w:t>
            </w:r>
            <w:proofErr w:type="gramEnd"/>
            <w:r>
              <w:t xml:space="preserve"> le poids</w:t>
            </w:r>
            <w:r>
              <w:t xml:space="preserve"> minimal ne peut être inférieur à 90% des poids définis pour les volailles entières. </w:t>
            </w:r>
          </w:p>
          <w:p w:rsidR="43C3CD81" w:rsidRDefault="00583E74">
            <w:pPr>
              <w:pStyle w:val="Normal1"/>
              <w:spacing w:after="280" w:afterAutospacing="1"/>
            </w:pPr>
          </w:p>
        </w:tc>
      </w:tr>
    </w:tbl>
    <w:p w:rsidR="00BA44B2" w:rsidRPr="00A90228" w:rsidRDefault="00583E74" w:rsidP="3DFDAB3A">
      <w:pPr>
        <w:pStyle w:val="Heading21"/>
        <w:ind w:left="1080" w:hanging="630"/>
      </w:pPr>
      <w:r>
        <w:lastRenderedPageBreak/>
        <w:t xml:space="preserve">Dérogations concernant l’origine des aliments pour animaux (uniquement pour les produits d’origine animale désignés par une appellation d’origine </w:t>
      </w:r>
      <w:r>
        <w:lastRenderedPageBreak/>
        <w:t>protégée) et restricti</w:t>
      </w:r>
      <w:r>
        <w:t>ons à la provenance des matières premières (uniquement pour les produits transformés désignés par une indication géographique protégée)</w:t>
      </w:r>
    </w:p>
    <w:p w:rsidR="17BED756" w:rsidRDefault="00583E74" w:rsidP="3DFDAB3A">
      <w:pPr>
        <w:pStyle w:val="Normal1"/>
        <w:ind w:left="1080"/>
        <w:jc w:val="left"/>
      </w:pPr>
      <w:r>
        <w:t xml:space="preserve">Pourcentage minimum de céréales et produits dérivés durant la période de </w:t>
      </w:r>
      <w:proofErr w:type="gramStart"/>
      <w:r>
        <w:t>démarrage :</w:t>
      </w:r>
      <w:proofErr w:type="gramEnd"/>
    </w:p>
    <w:p w:rsidR="00D15A56" w:rsidRDefault="00583E74" w:rsidP="3DFDAB3A">
      <w:pPr>
        <w:pStyle w:val="Normal1"/>
        <w:ind w:left="1080"/>
        <w:jc w:val="left"/>
      </w:pPr>
      <w:r>
        <w:t>-</w:t>
      </w:r>
      <w:r>
        <w:tab/>
        <w:t>Poulets, chapons, poulardes, pint</w:t>
      </w:r>
      <w:r>
        <w:t xml:space="preserve">ades, chapons de </w:t>
      </w:r>
      <w:proofErr w:type="gramStart"/>
      <w:r>
        <w:t>pintade :</w:t>
      </w:r>
      <w:proofErr w:type="gramEnd"/>
      <w:r>
        <w:t xml:space="preserve"> du 1er au 28ème jour : 50 % de grains céréales et produits dérivés minimum.</w:t>
      </w:r>
    </w:p>
    <w:p w:rsidR="00D15A56" w:rsidRDefault="00583E74" w:rsidP="3DFDAB3A">
      <w:pPr>
        <w:pStyle w:val="Normal1"/>
        <w:ind w:left="1080"/>
        <w:jc w:val="left"/>
      </w:pPr>
      <w:r>
        <w:t>-</w:t>
      </w:r>
      <w:r>
        <w:tab/>
      </w:r>
      <w:proofErr w:type="gramStart"/>
      <w:r>
        <w:t>Dindes :</w:t>
      </w:r>
      <w:proofErr w:type="gramEnd"/>
      <w:r>
        <w:t xml:space="preserve"> du 1er au 28ème jour : 30% de grains de céréales et produits dérivés minimum ; de 29 à 63 jours : 50% de grains de céréales et produits dérivé</w:t>
      </w:r>
      <w:r>
        <w:t>s minimum.</w:t>
      </w:r>
    </w:p>
    <w:p w:rsidR="00D15A56" w:rsidRDefault="00D15A56" w:rsidP="3DFDAB3A">
      <w:pPr>
        <w:pStyle w:val="Normal1"/>
        <w:ind w:left="1080"/>
        <w:jc w:val="left"/>
      </w:pPr>
    </w:p>
    <w:p w:rsidR="00D15A56" w:rsidRDefault="00583E74" w:rsidP="3DFDAB3A">
      <w:pPr>
        <w:pStyle w:val="Normal1"/>
        <w:ind w:left="1080"/>
        <w:jc w:val="left"/>
      </w:pPr>
      <w:r>
        <w:t xml:space="preserve">Pourcentage minimum de céréales et produits dérivés durant la période </w:t>
      </w:r>
      <w:proofErr w:type="gramStart"/>
      <w:r>
        <w:t>d’engraissement :</w:t>
      </w:r>
      <w:proofErr w:type="gramEnd"/>
      <w:r>
        <w:t xml:space="preserve"> </w:t>
      </w:r>
    </w:p>
    <w:p w:rsidR="00D15A56" w:rsidRDefault="00583E74" w:rsidP="3DFDAB3A">
      <w:pPr>
        <w:pStyle w:val="Normal1"/>
        <w:ind w:left="1080"/>
        <w:jc w:val="left"/>
      </w:pPr>
      <w:r>
        <w:t>-</w:t>
      </w:r>
      <w:r>
        <w:tab/>
        <w:t xml:space="preserve">Le pourcentage moyen pondéré de grains de céréales </w:t>
      </w:r>
      <w:proofErr w:type="gramStart"/>
      <w:r>
        <w:t>et</w:t>
      </w:r>
      <w:proofErr w:type="gramEnd"/>
      <w:r>
        <w:t xml:space="preserve"> produits dérivés au stade de l’engraissement doit être égal ou supérieur à 70 %.</w:t>
      </w:r>
    </w:p>
    <w:p w:rsidR="00D15A56" w:rsidRDefault="00D15A56" w:rsidP="3DFDAB3A">
      <w:pPr>
        <w:pStyle w:val="Normal1"/>
        <w:ind w:left="1080"/>
        <w:jc w:val="left"/>
      </w:pPr>
    </w:p>
    <w:p w:rsidR="00D15A56" w:rsidRDefault="00583E74" w:rsidP="3DFDAB3A">
      <w:pPr>
        <w:pStyle w:val="Normal1"/>
        <w:ind w:left="1080"/>
        <w:jc w:val="left"/>
      </w:pPr>
      <w:r>
        <w:t>Le pourcentage de</w:t>
      </w:r>
      <w:r>
        <w:t xml:space="preserve"> produit dérivés de céréales ne doit pas être supérieur à 15% en poids du total de la formule d’aliment.</w:t>
      </w:r>
    </w:p>
    <w:p w:rsidR="00D15A56" w:rsidRDefault="00D15A56" w:rsidP="3DFDAB3A">
      <w:pPr>
        <w:pStyle w:val="Normal1"/>
        <w:ind w:left="1080"/>
        <w:jc w:val="left"/>
      </w:pPr>
    </w:p>
    <w:p w:rsidR="00D15A56" w:rsidRDefault="00583E74" w:rsidP="3DFDAB3A">
      <w:pPr>
        <w:pStyle w:val="Normal1"/>
        <w:ind w:left="1080"/>
        <w:jc w:val="left"/>
      </w:pPr>
      <w:r>
        <w:t xml:space="preserve">Seules les matières premières précisées dans une liste positive sont autorisées à entrer dans la formulation des aliments composés. Pendant toute la </w:t>
      </w:r>
      <w:r>
        <w:t xml:space="preserve">durée de l’élevage, les additifs autorisés sont ceux prévus par la règlementation en vigueur avec les restrictions </w:t>
      </w:r>
      <w:proofErr w:type="gramStart"/>
      <w:r>
        <w:t>suivantes :</w:t>
      </w:r>
      <w:proofErr w:type="gramEnd"/>
      <w:r>
        <w:t xml:space="preserve"> les additifs technologiques des groupes fonctionnels émulsifiants, stabilisants, épaississants et gélifiants sont interdits.</w:t>
      </w:r>
    </w:p>
    <w:p w:rsidR="00BA44B2" w:rsidRPr="00A90228" w:rsidRDefault="00583E74" w:rsidP="3DFDAB3A">
      <w:pPr>
        <w:pStyle w:val="Heading21"/>
        <w:ind w:left="1080" w:hanging="630"/>
      </w:pPr>
      <w:r>
        <w:t>Étap</w:t>
      </w:r>
      <w:r>
        <w:t>es spécifiques de la production qui doit avoir lieu dans l’aire géographique délimitée</w:t>
      </w:r>
    </w:p>
    <w:tbl>
      <w:tblPr>
        <w:tblStyle w:val="TableGrid0"/>
        <w:tblW w:w="0" w:type="auto"/>
        <w:tblInd w:w="993" w:type="dxa"/>
        <w:tblLayout w:type="fixed"/>
        <w:tblLook w:val="0600" w:firstRow="0" w:lastRow="0" w:firstColumn="0" w:lastColumn="0" w:noHBand="1" w:noVBand="1"/>
      </w:tblPr>
      <w:tblGrid>
        <w:gridCol w:w="7410"/>
      </w:tblGrid>
      <w:tr w:rsidR="00D15A56" w:rsidTr="003739BB">
        <w:trPr>
          <w:trHeight w:val="300"/>
        </w:trPr>
        <w:tc>
          <w:tcPr>
            <w:tcW w:w="7410" w:type="dxa"/>
            <w:tcBorders>
              <w:top w:val="nil"/>
              <w:left w:val="nil"/>
              <w:bottom w:val="nil"/>
              <w:right w:val="nil"/>
            </w:tcBorders>
          </w:tcPr>
          <w:p w:rsidR="2320A506" w:rsidRDefault="00583E74" w:rsidP="003739BB">
            <w:pPr>
              <w:pStyle w:val="Normal1"/>
              <w:rPr>
                <w:color w:val="000000"/>
              </w:rPr>
            </w:pPr>
            <w:r>
              <w:t xml:space="preserve">Les opérations suivantes sont réalisées dans l’aire </w:t>
            </w:r>
            <w:proofErr w:type="gramStart"/>
            <w:r>
              <w:t>géographique :</w:t>
            </w:r>
            <w:proofErr w:type="gramEnd"/>
            <w:r>
              <w:t xml:space="preserve"> élevage (de la mise en place des poussins jusqu’à leur enlèvement pour l’abattage).</w:t>
            </w:r>
          </w:p>
        </w:tc>
      </w:tr>
    </w:tbl>
    <w:p w:rsidR="00BA44B2" w:rsidRPr="00A90228" w:rsidRDefault="00583E74" w:rsidP="3DFDAB3A">
      <w:pPr>
        <w:pStyle w:val="Heading21"/>
        <w:ind w:left="1080" w:hanging="630"/>
      </w:pPr>
      <w:r>
        <w:t>Règles spécifique</w:t>
      </w:r>
      <w:r>
        <w:t>s applicables au conditionnement, tranchage, râpage, etc., du produit agricole auquel la dénomination fait référence</w:t>
      </w:r>
    </w:p>
    <w:p w:rsidR="475EE9E9" w:rsidRDefault="00583E74" w:rsidP="3DFDAB3A">
      <w:pPr>
        <w:pStyle w:val="Normal1"/>
        <w:ind w:left="1080"/>
        <w:jc w:val="left"/>
      </w:pPr>
      <w:r>
        <w:t xml:space="preserve">Les pièces entières sont </w:t>
      </w:r>
      <w:proofErr w:type="gramStart"/>
      <w:r>
        <w:t>présentées :</w:t>
      </w:r>
      <w:proofErr w:type="gramEnd"/>
      <w:r>
        <w:t xml:space="preserve"> </w:t>
      </w:r>
    </w:p>
    <w:p w:rsidR="00D15A56" w:rsidRDefault="00583E74" w:rsidP="3DFDAB3A">
      <w:pPr>
        <w:pStyle w:val="Normal1"/>
        <w:ind w:left="1080"/>
        <w:jc w:val="left"/>
      </w:pPr>
      <w:r>
        <w:t>- « prêtes à cuire » (PAC) (volaille plumée, éviscérée, sans tête, avec ou sans tarse) conditionnées</w:t>
      </w:r>
      <w:r>
        <w:t xml:space="preserve"> nues, sous film, sous atmosphère protectrice ou sous vide.</w:t>
      </w:r>
    </w:p>
    <w:p w:rsidR="00D15A56" w:rsidRDefault="00583E74" w:rsidP="3DFDAB3A">
      <w:pPr>
        <w:pStyle w:val="Normal1"/>
        <w:ind w:left="1080"/>
        <w:jc w:val="left"/>
      </w:pPr>
      <w:r>
        <w:lastRenderedPageBreak/>
        <w:t xml:space="preserve">- « effilées » (volaille plumée, éviscérée avec tête, pattes </w:t>
      </w:r>
      <w:proofErr w:type="gramStart"/>
      <w:r>
        <w:t>et</w:t>
      </w:r>
      <w:proofErr w:type="gramEnd"/>
      <w:r>
        <w:t xml:space="preserve"> abats) conditionnées nues.</w:t>
      </w:r>
    </w:p>
    <w:p w:rsidR="00D15A56" w:rsidRDefault="00583E74" w:rsidP="3DFDAB3A">
      <w:pPr>
        <w:pStyle w:val="Normal1"/>
        <w:ind w:left="1080"/>
        <w:jc w:val="left"/>
      </w:pPr>
      <w:r>
        <w:t xml:space="preserve">Les découpes sont conditionnées nues, sous film, sous atmosphère protectrice ou sous vide. </w:t>
      </w:r>
    </w:p>
    <w:p w:rsidR="00D15A56" w:rsidRDefault="00583E74" w:rsidP="3DFDAB3A">
      <w:pPr>
        <w:pStyle w:val="Normal1"/>
        <w:ind w:left="1080"/>
        <w:jc w:val="left"/>
      </w:pPr>
      <w:r>
        <w:t xml:space="preserve">Les abats de </w:t>
      </w:r>
      <w:r>
        <w:t xml:space="preserve">volailles (cœur, gésier </w:t>
      </w:r>
      <w:proofErr w:type="gramStart"/>
      <w:r>
        <w:t>et</w:t>
      </w:r>
      <w:proofErr w:type="gramEnd"/>
      <w:r>
        <w:t xml:space="preserve"> foie) lorsqu’ils sont commercialisés seuls sont conditionnés nus, sous film en contenant rigide, sous vide ou sous atmosphère protectrice. </w:t>
      </w:r>
    </w:p>
    <w:p w:rsidR="00D15A56" w:rsidRDefault="00583E74" w:rsidP="3DFDAB3A">
      <w:pPr>
        <w:pStyle w:val="Normal1"/>
        <w:ind w:left="1080"/>
        <w:jc w:val="left"/>
      </w:pPr>
      <w:r>
        <w:t xml:space="preserve">Les « Volailles de l’Orléanais », viande </w:t>
      </w:r>
      <w:proofErr w:type="gramStart"/>
      <w:r>
        <w:t>et</w:t>
      </w:r>
      <w:proofErr w:type="gramEnd"/>
      <w:r>
        <w:t xml:space="preserve"> abats, sont commercialisées en frais ou en su</w:t>
      </w:r>
      <w:r>
        <w:t xml:space="preserve">rgelé. Seule la surgélation par air pulsé </w:t>
      </w:r>
      <w:proofErr w:type="gramStart"/>
      <w:r>
        <w:t>est</w:t>
      </w:r>
      <w:proofErr w:type="gramEnd"/>
      <w:r>
        <w:t xml:space="preserve"> autorisée, la congélation est interdite.</w:t>
      </w:r>
    </w:p>
    <w:p w:rsidR="00BA44B2" w:rsidRPr="00A90228" w:rsidRDefault="00583E74" w:rsidP="3DFDAB3A">
      <w:pPr>
        <w:pStyle w:val="Heading21"/>
        <w:ind w:left="1080" w:hanging="630"/>
      </w:pPr>
      <w:r>
        <w:t>Règles spécifiques concernant l'étiquetage du produit agricole auquel se réfère le nom enregistré</w:t>
      </w:r>
    </w:p>
    <w:tbl>
      <w:tblPr>
        <w:tblStyle w:val="TableGrid0"/>
        <w:tblW w:w="0" w:type="auto"/>
        <w:tblInd w:w="993" w:type="dxa"/>
        <w:tblBorders>
          <w:top w:val="nil"/>
          <w:left w:val="nil"/>
          <w:bottom w:val="nil"/>
          <w:right w:val="nil"/>
          <w:insideH w:val="nil"/>
          <w:insideV w:val="nil"/>
        </w:tblBorders>
        <w:tblLayout w:type="fixed"/>
        <w:tblLook w:val="06A0" w:firstRow="1" w:lastRow="0" w:firstColumn="1" w:lastColumn="0" w:noHBand="1" w:noVBand="1"/>
      </w:tblPr>
      <w:tblGrid>
        <w:gridCol w:w="7410"/>
      </w:tblGrid>
      <w:tr w:rsidR="00D15A56" w:rsidTr="003739BB">
        <w:trPr>
          <w:trHeight w:val="300"/>
        </w:trPr>
        <w:tc>
          <w:tcPr>
            <w:tcW w:w="7410" w:type="dxa"/>
          </w:tcPr>
          <w:p w:rsidR="3D084813" w:rsidRDefault="00583E74" w:rsidP="003739BB">
            <w:pPr>
              <w:pStyle w:val="Normal1"/>
            </w:pPr>
            <w:r>
              <w:t>-</w:t>
            </w:r>
          </w:p>
        </w:tc>
      </w:tr>
    </w:tbl>
    <w:p w:rsidR="1E921E5A" w:rsidRDefault="00583E74" w:rsidP="3DFDAB3A">
      <w:pPr>
        <w:pStyle w:val="Heading21"/>
        <w:ind w:left="1080" w:hanging="630"/>
        <w:rPr>
          <w:color w:val="000000"/>
        </w:rPr>
      </w:pPr>
      <w:r>
        <w:t>Description succincte de l’aire géographique</w:t>
      </w:r>
    </w:p>
    <w:tbl>
      <w:tblPr>
        <w:tblStyle w:val="TableGrid0"/>
        <w:tblW w:w="0" w:type="auto"/>
        <w:tblInd w:w="993" w:type="dxa"/>
        <w:tblLayout w:type="fixed"/>
        <w:tblLook w:val="06A0" w:firstRow="1" w:lastRow="0" w:firstColumn="1" w:lastColumn="0" w:noHBand="1" w:noVBand="1"/>
      </w:tblPr>
      <w:tblGrid>
        <w:gridCol w:w="7410"/>
      </w:tblGrid>
      <w:tr w:rsidR="00D15A56" w:rsidTr="003739BB">
        <w:trPr>
          <w:trHeight w:val="300"/>
        </w:trPr>
        <w:tc>
          <w:tcPr>
            <w:tcW w:w="7410" w:type="dxa"/>
            <w:tcBorders>
              <w:top w:val="nil"/>
              <w:left w:val="nil"/>
              <w:bottom w:val="nil"/>
              <w:right w:val="nil"/>
            </w:tcBorders>
          </w:tcPr>
          <w:p w:rsidR="1C69198A" w:rsidRDefault="00583E74" w:rsidP="003739BB">
            <w:pPr>
              <w:pStyle w:val="Normal1"/>
            </w:pPr>
            <w:r>
              <w:rPr>
                <w:shd w:val="clear" w:color="auto" w:fill="FFFFFF"/>
              </w:rPr>
              <w:t xml:space="preserve">Les départements de l’Eure-et-Loir (28), Loir-et-Cher (41) et Loiret (45) dans leur intégralité, ainsi que les communes des départements suivants : </w:t>
            </w:r>
          </w:p>
          <w:p w:rsidR="00D15A56" w:rsidRDefault="00583E74">
            <w:pPr>
              <w:pStyle w:val="Normal1"/>
              <w:spacing w:after="280" w:afterAutospacing="1"/>
            </w:pPr>
            <w:r>
              <w:rPr>
                <w:shd w:val="clear" w:color="auto" w:fill="FFFFFF"/>
              </w:rPr>
              <w:t>Cher (18) : Argent-sur-Sauldre, Bannay, Belleville-sur-Loire, Blancafort, Boulleret, Brinon-sur-Sauldre, Bu</w:t>
            </w:r>
            <w:r>
              <w:rPr>
                <w:shd w:val="clear" w:color="auto" w:fill="FFFFFF"/>
              </w:rPr>
              <w:t>é, Clémont, Couargues, Crézancy-en-Sancerre, Feux, Gardefort, Jalognes, Léré, Menetou-Râtel, Ménétréol-sous-Sancerre, Saint-Bouize, Saint-Satur, Sainte-Gemme-en-Sancerrois, Sancerre, Santranges, Savigny-en-Sancerre, Sens-Beaujeu, Sury-en-Vaux, Sury-près-Lé</w:t>
            </w:r>
            <w:r>
              <w:rPr>
                <w:shd w:val="clear" w:color="auto" w:fill="FFFFFF"/>
              </w:rPr>
              <w:t>ré, Thauvenay, Veaugues, Verdigny, Vinon.</w:t>
            </w:r>
          </w:p>
          <w:p w:rsidR="00D15A56" w:rsidRDefault="00583E74">
            <w:pPr>
              <w:pStyle w:val="Normal1"/>
              <w:spacing w:after="280" w:afterAutospacing="1"/>
            </w:pPr>
            <w:r>
              <w:rPr>
                <w:shd w:val="clear" w:color="auto" w:fill="FFFFFF"/>
              </w:rPr>
              <w:t>Indre-et-Loire (37</w:t>
            </w:r>
            <w:proofErr w:type="gramStart"/>
            <w:r>
              <w:rPr>
                <w:shd w:val="clear" w:color="auto" w:fill="FFFFFF"/>
              </w:rPr>
              <w:t>) :</w:t>
            </w:r>
            <w:proofErr w:type="gramEnd"/>
            <w:r>
              <w:rPr>
                <w:shd w:val="clear" w:color="auto" w:fill="FFFFFF"/>
              </w:rPr>
              <w:t xml:space="preserve"> Chemillé sur Dême.</w:t>
            </w:r>
          </w:p>
          <w:p w:rsidR="00D15A56" w:rsidRDefault="00583E74">
            <w:pPr>
              <w:pStyle w:val="Normal1"/>
              <w:spacing w:after="280" w:afterAutospacing="1"/>
            </w:pPr>
            <w:r>
              <w:rPr>
                <w:shd w:val="clear" w:color="auto" w:fill="FFFFFF"/>
              </w:rPr>
              <w:t>Orne (61</w:t>
            </w:r>
            <w:proofErr w:type="gramStart"/>
            <w:r>
              <w:rPr>
                <w:shd w:val="clear" w:color="auto" w:fill="FFFFFF"/>
              </w:rPr>
              <w:t>) :</w:t>
            </w:r>
            <w:proofErr w:type="gramEnd"/>
            <w:r>
              <w:rPr>
                <w:shd w:val="clear" w:color="auto" w:fill="FFFFFF"/>
              </w:rPr>
              <w:t xml:space="preserve"> Bellou-le-Trichard, Ceton, Saint-Germain-de-la-Coudre, Saint-Hilaire-sur-Erre, Val-au-Perche.</w:t>
            </w:r>
          </w:p>
          <w:p w:rsidR="00D15A56" w:rsidRDefault="00583E74">
            <w:pPr>
              <w:pStyle w:val="Normal1"/>
              <w:spacing w:after="280" w:afterAutospacing="1"/>
            </w:pPr>
            <w:r>
              <w:rPr>
                <w:shd w:val="clear" w:color="auto" w:fill="FFFFFF"/>
              </w:rPr>
              <w:t>Sarthe (72) : Avezé, Berfay, Bessé-sur-Braye, Champrond, (La) Chape</w:t>
            </w:r>
            <w:r>
              <w:rPr>
                <w:shd w:val="clear" w:color="auto" w:fill="FFFFFF"/>
              </w:rPr>
              <w:t>lle-du-Bois, (La) Chapelle-Huon, Cherré-Au, Cogners, Conflans-sur-Anille, Cormes, Courgenard, Dehault, Dollon, Écorpain, Gréez-sur-Roc, (La) Ferté-Bernard, Lamnay, Lavaré, Marolles-lès-Saint-Calais, Melleray, Montaillé, Montmirail, Préval, Rahay, Saint-Aub</w:t>
            </w:r>
            <w:r>
              <w:rPr>
                <w:shd w:val="clear" w:color="auto" w:fill="FFFFFF"/>
              </w:rPr>
              <w:t>in-des-Coudrais, Saint-Calais, Saint-Gervais-de-Vic, Saint-Jean-des-Échelles, Saint-Maixent, Saint-Martin-des-Monts, Saint-Ulphace, Sainte-Cérotte, Semur-en-Vallon, Souvigné-sur-Même, Théligny, Val-d’Etangson, Valennes, Vancé, Vibraye, Villaines-la-Gonais.</w:t>
            </w:r>
          </w:p>
          <w:p w:rsidR="00D15A56" w:rsidRDefault="00583E74">
            <w:pPr>
              <w:pStyle w:val="Normal1"/>
              <w:spacing w:after="280" w:afterAutospacing="1"/>
            </w:pPr>
            <w:r>
              <w:rPr>
                <w:shd w:val="clear" w:color="auto" w:fill="FFFFFF"/>
              </w:rPr>
              <w:t>Yonne (89) : Bléneau, Champcevrais, Champignelles, Charny Orée de Puisaye, (La) Ferté-Loupière, Lavau, Mézilles, Rogny-les-Sept-Écluses, Ronchères, Saint-Fargeau, Saint-Martin-des-Champs, Saint-Privé, Tannerre-en-Puisaye, Villeneuve-les-Genêts.</w:t>
            </w:r>
          </w:p>
          <w:p w:rsidR="00D15A56" w:rsidRDefault="00D15A56">
            <w:pPr>
              <w:pStyle w:val="Normal1"/>
              <w:spacing w:after="280" w:afterAutospacing="1"/>
            </w:pPr>
          </w:p>
        </w:tc>
      </w:tr>
    </w:tbl>
    <w:p w:rsidR="5C3E2BC7" w:rsidRDefault="00583E74" w:rsidP="3DFDAB3A">
      <w:pPr>
        <w:pStyle w:val="Heading11"/>
        <w:ind w:left="450" w:hanging="450"/>
        <w:rPr>
          <w:color w:val="000000"/>
        </w:rPr>
      </w:pPr>
      <w:r>
        <w:lastRenderedPageBreak/>
        <w:t xml:space="preserve">Lien </w:t>
      </w:r>
      <w:r>
        <w:t>avec l’aire géographique</w:t>
      </w:r>
    </w:p>
    <w:p w:rsidR="73986284" w:rsidRDefault="00583E74" w:rsidP="3DFDAB3A">
      <w:pPr>
        <w:pStyle w:val="Normal1"/>
        <w:ind w:left="450"/>
        <w:jc w:val="left"/>
      </w:pPr>
      <w:r w:rsidRPr="3DFDAB3A">
        <w:rPr>
          <w:b/>
          <w:bCs/>
        </w:rPr>
        <w:t xml:space="preserve">Le lien de causalité avec l’origine géographique </w:t>
      </w:r>
      <w:proofErr w:type="gramStart"/>
      <w:r w:rsidRPr="3DFDAB3A">
        <w:rPr>
          <w:b/>
          <w:bCs/>
        </w:rPr>
        <w:t>est</w:t>
      </w:r>
      <w:proofErr w:type="gramEnd"/>
      <w:r w:rsidRPr="3DFDAB3A">
        <w:rPr>
          <w:b/>
          <w:bCs/>
        </w:rPr>
        <w:t xml:space="preserve"> fondé sur</w:t>
      </w:r>
    </w:p>
    <w:p w:rsidR="73986284" w:rsidRDefault="00583E74" w:rsidP="3DFDAB3A">
      <w:pPr>
        <w:pStyle w:val="Normal1"/>
        <w:ind w:left="450"/>
        <w:jc w:val="left"/>
      </w:pPr>
      <w:r>
        <w:t>☑</w:t>
      </w:r>
      <w:r>
        <w:t xml:space="preserve"> </w:t>
      </w:r>
      <w:proofErr w:type="gramStart"/>
      <w:r>
        <w:t>réputation</w:t>
      </w:r>
      <w:proofErr w:type="gramEnd"/>
    </w:p>
    <w:p w:rsidR="73986284" w:rsidRDefault="00583E74" w:rsidP="3DFDAB3A">
      <w:pPr>
        <w:pStyle w:val="Normal1"/>
        <w:ind w:left="450"/>
        <w:jc w:val="left"/>
      </w:pPr>
      <w:r>
        <w:t>☑</w:t>
      </w:r>
      <w:r>
        <w:t xml:space="preserve"> </w:t>
      </w:r>
      <w:proofErr w:type="gramStart"/>
      <w:r>
        <w:t>qualité</w:t>
      </w:r>
      <w:proofErr w:type="gramEnd"/>
      <w:r>
        <w:t xml:space="preserve"> donnée</w:t>
      </w:r>
    </w:p>
    <w:p w:rsidR="73986284" w:rsidRDefault="00583E74" w:rsidP="3DFDAB3A">
      <w:pPr>
        <w:pStyle w:val="Normal1"/>
        <w:ind w:left="450"/>
        <w:jc w:val="left"/>
      </w:pPr>
      <w:r>
        <w:t>☐</w:t>
      </w:r>
      <w:r>
        <w:t xml:space="preserve"> </w:t>
      </w:r>
      <w:proofErr w:type="gramStart"/>
      <w:r>
        <w:t>autres</w:t>
      </w:r>
      <w:proofErr w:type="gramEnd"/>
      <w:r>
        <w:t xml:space="preserve"> caractéristiques</w:t>
      </w:r>
    </w:p>
    <w:p w:rsidR="73986284" w:rsidRPr="0097257E" w:rsidRDefault="00583E74" w:rsidP="3DFDAB3A">
      <w:pPr>
        <w:pStyle w:val="Normal1"/>
        <w:ind w:left="450"/>
        <w:jc w:val="left"/>
        <w:rPr>
          <w:b/>
          <w:bCs/>
        </w:rPr>
      </w:pPr>
      <w:r w:rsidRPr="3DFDAB3A">
        <w:rPr>
          <w:b/>
          <w:bCs/>
        </w:rPr>
        <w:t>Résumé du lien</w:t>
      </w:r>
    </w:p>
    <w:tbl>
      <w:tblPr>
        <w:tblStyle w:val="TableGrid0"/>
        <w:tblW w:w="0" w:type="auto"/>
        <w:tblInd w:w="340" w:type="dxa"/>
        <w:tblBorders>
          <w:top w:val="nil"/>
          <w:left w:val="nil"/>
          <w:bottom w:val="nil"/>
          <w:right w:val="nil"/>
          <w:insideH w:val="nil"/>
          <w:insideV w:val="nil"/>
        </w:tblBorders>
        <w:tblLayout w:type="fixed"/>
        <w:tblLook w:val="06A0" w:firstRow="1" w:lastRow="0" w:firstColumn="1" w:lastColumn="0" w:noHBand="1" w:noVBand="1"/>
      </w:tblPr>
      <w:tblGrid>
        <w:gridCol w:w="8130"/>
      </w:tblGrid>
      <w:tr w:rsidR="00D15A56" w:rsidTr="003739BB">
        <w:trPr>
          <w:trHeight w:val="300"/>
        </w:trPr>
        <w:tc>
          <w:tcPr>
            <w:tcW w:w="8130" w:type="dxa"/>
          </w:tcPr>
          <w:p w:rsidR="632A0075" w:rsidRDefault="00583E74" w:rsidP="003739BB">
            <w:pPr>
              <w:pStyle w:val="Normal1"/>
              <w:ind w:left="-90"/>
            </w:pPr>
            <w:r>
              <w:t>Le lien à l’origine des « Volailles l’Orléanais » est fondé sur sa réputation et les spécificités</w:t>
            </w:r>
            <w:r>
              <w:t xml:space="preserve"> du produit liées au savoir-faire des éleveurs.</w:t>
            </w:r>
          </w:p>
          <w:p w:rsidR="00D15A56" w:rsidRDefault="00583E74">
            <w:pPr>
              <w:pStyle w:val="Normal1"/>
              <w:spacing w:after="280" w:afterAutospacing="1"/>
            </w:pPr>
            <w:r>
              <w:t>Le bassin de production des « Volailles de l’Orléanais » est situé au sud de la région parisienne. Il occupe l’intégralité des département d’Eure-et-Loir, du Loiret et du Loir-et-Cher, ainsi que quelques comm</w:t>
            </w:r>
            <w:r>
              <w:t>unes des départements limitrophes. Il correspond partiellement à l’ancienne province historique de l’Orléanais, composée au sud-ouest par le Blaisois (Blois), à l’ouest et au nord par la Beauce (Vendômois (Vendôme), Comté Dunois (Châteaudun), Perche Gouet,</w:t>
            </w:r>
            <w:r>
              <w:t xml:space="preserve"> Pays Chartrain (Chartres)), à l’est par le Gâtinais (Montargis), et en son cœur par l’Orléanais proprement dit, dont fait partie la Sologne. A cela s’ajoute une partie du Pays-Fort (Sancerre). Cette région est parcourue d’Ouest en Est par le Val de Loire.</w:t>
            </w:r>
          </w:p>
          <w:p w:rsidR="00D15A56" w:rsidRDefault="00583E74">
            <w:pPr>
              <w:pStyle w:val="Normal1"/>
              <w:spacing w:after="280" w:afterAutospacing="1"/>
            </w:pPr>
            <w:r>
              <w:t>L’Orléanais est un vaste plateau appartenant presque exclusivement au bassin sédimentaire parisien. Le relief y est modeste (100m en moyenne), avec une légère pente vers l’Ouest qui lui permet de bénéficier des tiédeurs océaniques (température moyenne ann</w:t>
            </w:r>
            <w:r>
              <w:t>uelle variant entre 9 et 12°C). Le climat océanique dégradé s’y traduit par des précipitations régulièrement réparties dans l’année mais hétérogènes sur le territoire (500mm/an dans la Beauce, 650mm/an dans le Gâtinais, 750mm/an en Sologne).</w:t>
            </w:r>
          </w:p>
          <w:p w:rsidR="00D15A56" w:rsidRDefault="00583E74">
            <w:pPr>
              <w:pStyle w:val="Normal1"/>
              <w:spacing w:after="280" w:afterAutospacing="1"/>
            </w:pPr>
            <w:r>
              <w:t>Plusieurs sols</w:t>
            </w:r>
            <w:r>
              <w:t xml:space="preserve"> s'y distinguent :</w:t>
            </w:r>
          </w:p>
          <w:p w:rsidR="00D15A56" w:rsidRDefault="00583E74">
            <w:pPr>
              <w:pStyle w:val="Normal1"/>
              <w:numPr>
                <w:ilvl w:val="0"/>
                <w:numId w:val="37"/>
              </w:numPr>
            </w:pPr>
            <w:r>
              <w:t>Les calcaires de Beauce, issus de dépôts sédimentaires quaternaires, à l’origine de sols riches et fertiles ;</w:t>
            </w:r>
          </w:p>
          <w:p w:rsidR="00D15A56" w:rsidRDefault="00583E74">
            <w:pPr>
              <w:pStyle w:val="Normal1"/>
              <w:numPr>
                <w:ilvl w:val="0"/>
                <w:numId w:val="37"/>
              </w:numPr>
            </w:pPr>
            <w:r>
              <w:t>Les alluvions du val de Loire, riches également ;</w:t>
            </w:r>
          </w:p>
          <w:p w:rsidR="00D15A56" w:rsidRDefault="00583E74">
            <w:pPr>
              <w:pStyle w:val="Normal1"/>
              <w:numPr>
                <w:ilvl w:val="0"/>
                <w:numId w:val="37"/>
              </w:numPr>
            </w:pPr>
            <w:r>
              <w:t>Les sables et marnes de l’Orléanais, sols plutôt drainants ;</w:t>
            </w:r>
          </w:p>
          <w:p w:rsidR="00D15A56" w:rsidRDefault="00583E74">
            <w:pPr>
              <w:pStyle w:val="Normal1"/>
              <w:numPr>
                <w:ilvl w:val="0"/>
                <w:numId w:val="37"/>
              </w:numPr>
              <w:spacing w:after="280" w:afterAutospacing="1"/>
            </w:pPr>
            <w:r>
              <w:t xml:space="preserve">Les sables </w:t>
            </w:r>
            <w:proofErr w:type="gramStart"/>
            <w:r>
              <w:t>et</w:t>
            </w:r>
            <w:proofErr w:type="gramEnd"/>
            <w:r>
              <w:t xml:space="preserve"> ar</w:t>
            </w:r>
            <w:r>
              <w:t>giles de Sologne, résultant de dépôts détritiques descendus du Massif central, dont l’organisation en couches successives d’épaisseur variable est à l’origine de sols engorgés et souvent pauvres.</w:t>
            </w:r>
          </w:p>
          <w:p w:rsidR="00D15A56" w:rsidRDefault="00583E74">
            <w:pPr>
              <w:pStyle w:val="Normal1"/>
              <w:spacing w:after="280" w:afterAutospacing="1"/>
            </w:pPr>
            <w:r>
              <w:t>Les sols mieux drainés à l’ouest sont propices aux vignes.</w:t>
            </w:r>
          </w:p>
          <w:p w:rsidR="00D15A56" w:rsidRDefault="00583E74">
            <w:pPr>
              <w:pStyle w:val="Normal1"/>
              <w:spacing w:after="280" w:afterAutospacing="1"/>
            </w:pPr>
            <w:r>
              <w:lastRenderedPageBreak/>
              <w:t>L</w:t>
            </w:r>
            <w:r>
              <w:t>es agriculteurs de l’Orléanais ont su tirer profit de cette variété de conditions écologiques. Ils ont drainé au moyen de fossés et d’étangs les zones engorgées et pluvieuses du territoire pour donner le paysage solognot. Ils ont exploité la fertilité du p</w:t>
            </w:r>
            <w:r>
              <w:t>lateau beauceron avec la culture céréalière. Par endroit, les forêts denses ont été défrichées pour créer du bocage propice à l’élevage.</w:t>
            </w:r>
          </w:p>
          <w:p w:rsidR="00D15A56" w:rsidRDefault="00583E74">
            <w:pPr>
              <w:pStyle w:val="Normal1"/>
              <w:spacing w:after="280" w:afterAutospacing="1"/>
            </w:pPr>
            <w:r>
              <w:t>Historiquement, la production de volailles intervient sur des exploitations céréalières soucieuses de diversifié leur a</w:t>
            </w:r>
            <w:r>
              <w:t>ctivité. De ce fait, l’alimentation des volailles est principalement composée de céréales, notamment de blé. En parallèle, les volailles valorisent le milieu en pâturant. Les éleveurs ont donc sélectionné des races présentant des aptitudes physiques et com</w:t>
            </w:r>
            <w:r>
              <w:t>portementales pour la vie en extérieur. Ils ont également développé des moyens de favoriser la sortie des volailles à l’extérieur. Ainsi, les bâtiments d’élevage sont relativement petits, avec des trappes d’accès aux parcours larges, et les parcours sont a</w:t>
            </w:r>
            <w:r>
              <w:t>rborés.</w:t>
            </w:r>
          </w:p>
          <w:p w:rsidR="00D15A56" w:rsidRDefault="00583E74">
            <w:pPr>
              <w:pStyle w:val="Normal1"/>
              <w:spacing w:after="280" w:afterAutospacing="1"/>
            </w:pPr>
            <w:r>
              <w:t>Les espèces de volailles élevées en Orléanais sont diverses, mais la plus notable est le poulet à pattes bleues. L'amélioration génétique de cette race a permis d’obtenir un produit charnu et ferme (quand il est cru). Les éleveurs de l’Orléanais on</w:t>
            </w:r>
            <w:r>
              <w:t>t su composer avec cette race au caractère agressif, témoignant de leur savoir-faire unique.</w:t>
            </w:r>
          </w:p>
          <w:p w:rsidR="00D15A56" w:rsidRDefault="00583E74">
            <w:pPr>
              <w:pStyle w:val="Normal1"/>
              <w:spacing w:after="280" w:afterAutospacing="1"/>
            </w:pPr>
            <w:r>
              <w:t>En 1967, les éleveurs de l’Orléanais s’organisent en filière de production, ce qui permet l’obtention d’un premier label rouge poulet en 1969. Cette initiative a t</w:t>
            </w:r>
            <w:r>
              <w:t>rouvé sa voie, puisqu’en 7 ans, les volumes furent multipliés par 20 et la gamme de volailles s’est étoffée pour réunir aujourd’hui poulet, dinde, pintade, chapon de pintade, chapon et poularde. Cette filière s’est trouvée également renforcée par l’arrivée</w:t>
            </w:r>
            <w:r>
              <w:t xml:space="preserve"> de nouveaux acteurs aval (abattoirs) répartis sur l’Orléanais, ce qui </w:t>
            </w:r>
            <w:proofErr w:type="gramStart"/>
            <w:r>
              <w:t>a</w:t>
            </w:r>
            <w:proofErr w:type="gramEnd"/>
            <w:r>
              <w:t xml:space="preserve"> encouragé le développement de nouveaux élevages.</w:t>
            </w:r>
          </w:p>
          <w:p w:rsidR="00D15A56" w:rsidRDefault="00583E74">
            <w:pPr>
              <w:pStyle w:val="Normal1"/>
              <w:spacing w:after="280" w:afterAutospacing="1"/>
            </w:pPr>
            <w:r>
              <w:t xml:space="preserve">L’élevage plein air des « Volailles de l’Orléanais » au plus proche de la maturité sexuelle assure leur bon développement musculaire, </w:t>
            </w:r>
            <w:r>
              <w:t>permettant d’obtenir des carcasses charnues et aux filets rebondis. La part importante de céréales dans leur alimentation (≥70%) contribue au bon engraissement des carcasses et à la fermeté de la chair crue.</w:t>
            </w:r>
          </w:p>
          <w:p w:rsidR="00D15A56" w:rsidRDefault="00583E74">
            <w:pPr>
              <w:pStyle w:val="Normal1"/>
              <w:spacing w:after="280" w:afterAutospacing="1"/>
            </w:pPr>
            <w:r>
              <w:t xml:space="preserve">La production de « Volailles de l’Orléanais » a </w:t>
            </w:r>
            <w:r>
              <w:t>été initiée par un collectif d’aviculteurs en 1967 dans un bassin céréalier historique propice à leur alimentation. Les conditions climatiques et topographiques y sont favorables à la sortie régulière (sur l’année) et prolongée (au quotidien) des volailles</w:t>
            </w:r>
            <w:r>
              <w:t xml:space="preserve"> sur parcours herbeux. De ce fait, les agriculteurs de l’Orléanais ont sélectionné des souches tirant au mieux profit de leur milieu et qu’ils élèvent au plus proche de la maturité sexuelle. La combinaison de ces éléments avec une alimentation riche en cér</w:t>
            </w:r>
            <w:r>
              <w:t>éales permet d’obtenir des volailles à la musculature développée, notamment des filets et des cuisses, et présentant un bon état d’engraissement.</w:t>
            </w:r>
          </w:p>
          <w:p w:rsidR="00D15A56" w:rsidRDefault="00583E74">
            <w:pPr>
              <w:pStyle w:val="Normal1"/>
              <w:spacing w:after="280" w:afterAutospacing="1"/>
            </w:pPr>
            <w:r>
              <w:t>Le dynamisme des éleveurs a conduit à la mise en place d’une filière aujourd’hui reconnue.</w:t>
            </w:r>
          </w:p>
          <w:p w:rsidR="00D15A56" w:rsidRDefault="00583E74">
            <w:pPr>
              <w:pStyle w:val="Normal1"/>
              <w:spacing w:after="280" w:afterAutospacing="1"/>
            </w:pPr>
            <w:r>
              <w:t>La qualité de cette</w:t>
            </w:r>
            <w:r>
              <w:t xml:space="preserve"> production lui a valu tout d’abord une bonne réputation régionale. En 1990, l’édition n°514 du Journal « L’Aviculteur » commente la mise </w:t>
            </w:r>
            <w:r>
              <w:lastRenderedPageBreak/>
              <w:t xml:space="preserve">en place, et ce sans obligation légale, de contrôles bactériologiques sur toute la </w:t>
            </w:r>
            <w:proofErr w:type="gramStart"/>
            <w:r>
              <w:t>filière ;</w:t>
            </w:r>
            <w:proofErr w:type="gramEnd"/>
            <w:r>
              <w:t xml:space="preserve"> démontrant le souci de la</w:t>
            </w:r>
            <w:r>
              <w:t xml:space="preserve"> qualité sanitaire des produits mis en marché. L’édition n°4 de « Terroir – Saveurs du Loiret » de 1993, vantait aussi la qualité du chapon fermier « de l’Orléanais ». Puis, ce même chapon </w:t>
            </w:r>
            <w:proofErr w:type="gramStart"/>
            <w:r>
              <w:t>a</w:t>
            </w:r>
            <w:proofErr w:type="gramEnd"/>
            <w:r>
              <w:t xml:space="preserve"> été cité en décembre 1993 dans une émission sur France 2 où lui a</w:t>
            </w:r>
            <w:r>
              <w:t xml:space="preserve"> été décerné le meilleur rapport Qualité-Prix. Les journaux « Gault et Millau » d’octobre 1990 et « L’Evénement du Jeudi » de mars 1993 ont aussi démontré les qualités gustatives des « Volailles de l’Orléanais » au cours de bancs d’essai (5ème ex-aequo ave</w:t>
            </w:r>
            <w:r>
              <w:t>c le « Poulet de Bresse » pour le Gault et Millau).</w:t>
            </w:r>
          </w:p>
          <w:p w:rsidR="00D15A56" w:rsidRDefault="00583E74">
            <w:pPr>
              <w:pStyle w:val="Normal1"/>
              <w:spacing w:after="280" w:afterAutospacing="1"/>
            </w:pPr>
            <w:r>
              <w:t>Enfin, les médailles obtenues au Concours Général Agricole de Paris témoignent de la qualité constante du produit et lui confère une réputation grandissante : entre 2007 et 2019, les « Volailles de l’Orlé</w:t>
            </w:r>
            <w:r>
              <w:t>anais » ont obtenu 11 médailles (3 médailles d’or consécutives pour le « Poulet à Pattes Bleues » entre 2015 et 2017).</w:t>
            </w:r>
          </w:p>
          <w:p w:rsidR="39B093FC" w:rsidRPr="00DB50EE" w:rsidRDefault="00583E74">
            <w:pPr>
              <w:pStyle w:val="Normal1"/>
              <w:spacing w:after="280" w:afterAutospacing="1"/>
            </w:pPr>
          </w:p>
        </w:tc>
      </w:tr>
    </w:tbl>
    <w:p w:rsidR="005F5947" w:rsidRPr="00132807" w:rsidRDefault="00583E74" w:rsidP="0097257E">
      <w:pPr>
        <w:pStyle w:val="Normal1"/>
        <w:jc w:val="left"/>
        <w:rPr>
          <w:color w:val="000000"/>
        </w:rPr>
      </w:pPr>
      <w:r>
        <w:rPr>
          <w:rFonts w:ascii="inherit" w:hAnsi="inherit"/>
          <w:lang w:val="en-IE" w:eastAsia="en-IE"/>
        </w:rPr>
        <w:lastRenderedPageBreak/>
        <w:pict>
          <v:rect id="_x0000_i1026" style="width:101.5pt;height:1pt" o:hrpct="0" o:hrstd="t" o:hrnoshade="t" o:hr="t" fillcolor="black" stroked="f"/>
        </w:pict>
      </w:r>
    </w:p>
    <w:p w:rsidR="4E6EB726" w:rsidRPr="0097257E" w:rsidRDefault="00583E74" w:rsidP="0097257E">
      <w:pPr>
        <w:pStyle w:val="Normal1"/>
        <w:jc w:val="left"/>
        <w:rPr>
          <w:b/>
          <w:bCs/>
        </w:rPr>
      </w:pPr>
      <w:r w:rsidRPr="0097257E">
        <w:rPr>
          <w:b/>
          <w:bCs/>
        </w:rPr>
        <w:t>Référence électronique (URL) à la publication du cahier des charges</w:t>
      </w:r>
    </w:p>
    <w:p w:rsidR="2840FFB6" w:rsidRDefault="00583E74" w:rsidP="0097257E">
      <w:pPr>
        <w:pStyle w:val="Normal1"/>
        <w:jc w:val="left"/>
      </w:pPr>
    </w:p>
    <w:sectPr w:rsidR="2840FFB6" w:rsidSect="00A90228">
      <w:headerReference w:type="default" r:id="rId16"/>
      <w:footerReference w:type="default" r:id="rId17"/>
      <w:headerReference w:type="first" r:id="rId18"/>
      <w:footerReference w:type="first" r:id="rId19"/>
      <w:type w:val="continuous"/>
      <w:pgSz w:w="11906" w:h="16838"/>
      <w:pgMar w:top="1020" w:right="1701" w:bottom="1020" w:left="1587" w:header="850" w:footer="1077" w:gutter="0"/>
      <w:cols w:space="720"/>
      <w:titlePg/>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000000" w:rsidRDefault="00583E74">
      <w:pPr>
        <w:spacing w:after="0"/>
      </w:pPr>
      <w:r>
        <w:separator/>
      </w:r>
    </w:p>
  </w:endnote>
  <w:endnote w:type="continuationSeparator" w:id="0">
    <w:p w:rsidR="00000000" w:rsidRDefault="00583E74">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 w:name="inherit">
    <w:altName w:val="Cambria"/>
    <w:panose1 w:val="00000000000000000000"/>
    <w:charset w:val="00"/>
    <w:family w:val="roman"/>
    <w:notTrueType/>
    <w:pitch w:val="default"/>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C62FF" w:rsidRDefault="00583E74">
    <w:pPr>
      <w:pStyle w:val="Pieddepage"/>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72529" w:rsidRDefault="00583E74">
    <w:pPr>
      <w:pStyle w:val="Pieddepage"/>
      <w:jc w:val="center"/>
    </w:pPr>
  </w:p>
  <w:p w:rsidR="00472529" w:rsidRDefault="00583E74" w:rsidP="29112087">
    <w:pPr>
      <w:pStyle w:val="Pieddepage"/>
      <w:jc w:val="center"/>
      <w:rPr>
        <w:noProof/>
      </w:rPr>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2840FFB6" w:rsidRDefault="00583E74" w:rsidP="00FF6544">
    <w:pPr>
      <w:pStyle w:val="Pieddepage"/>
      <w:jc w:val="both"/>
    </w:pPr>
    <w:r w:rsidRPr="3AB089FB">
      <w:rPr>
        <w:rFonts w:ascii="Times New Roman" w:hAnsi="Times New Roman"/>
      </w:rPr>
      <w:t xml:space="preserve">(*) </w:t>
    </w:r>
    <w:proofErr w:type="gramStart"/>
    <w:r w:rsidRPr="3AB089FB">
      <w:rPr>
        <w:rFonts w:ascii="Times New Roman" w:hAnsi="Times New Roman"/>
      </w:rPr>
      <w:t>Règlement délégué (UE) 2025/27 de la Commission du 30 octobre 2024 complétant le règlement (UE) 2024/1143 du Parlement européen et du Conseil par des règles concernant l’enregi</w:t>
    </w:r>
    <w:r w:rsidRPr="3AB089FB">
      <w:rPr>
        <w:rFonts w:ascii="Times New Roman" w:hAnsi="Times New Roman"/>
      </w:rPr>
      <w:t>strement et la protection des indications géographiques, des spécialités traditionnelles garanties et des mentions de qualité facultatives, et abrogeant le règlement délégué (UE) nº 664/2014 (JO L, 2025/27, 15.1.2025, ELI: https://http://data.europa.eu/eli</w:t>
    </w:r>
    <w:r w:rsidRPr="3AB089FB">
      <w:rPr>
        <w:rFonts w:ascii="Times New Roman" w:hAnsi="Times New Roman"/>
      </w:rPr>
      <w:t>/reg_del/2025/27/oj).</w:t>
    </w:r>
    <w:proofErr w:type="gramEnd"/>
  </w:p>
</w:ftr>
</file>

<file path=word/footer4.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72529" w:rsidRDefault="00583E74">
    <w:pPr>
      <w:pStyle w:val="Footer1"/>
      <w:jc w:val="center"/>
    </w:pPr>
  </w:p>
  <w:p w:rsidR="00472529" w:rsidRDefault="00583E74" w:rsidP="1DDC2095">
    <w:pPr>
      <w:pStyle w:val="Footer1"/>
      <w:jc w:val="center"/>
      <w:rPr>
        <w:noProof/>
      </w:rPr>
    </w:pPr>
  </w:p>
</w:ftr>
</file>

<file path=word/footer5.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2840FFB6" w:rsidRDefault="00583E74" w:rsidP="2840FFB6">
    <w:pPr>
      <w:pStyle w:val="Footer1"/>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000000" w:rsidRDefault="00583E74">
      <w:pPr>
        <w:spacing w:after="0"/>
      </w:pPr>
      <w:r>
        <w:separator/>
      </w:r>
    </w:p>
  </w:footnote>
  <w:footnote w:type="continuationSeparator" w:id="0">
    <w:p w:rsidR="00000000" w:rsidRDefault="00583E74">
      <w:pPr>
        <w:spacing w:after="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C62FF" w:rsidRDefault="00583E74">
    <w:pPr>
      <w:pStyle w:val="En-tte"/>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2840FFB6" w:rsidRDefault="00583E74" w:rsidP="00034212">
    <w:pPr>
      <w:pStyle w:val="En-tte"/>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2840FFB6" w:rsidRDefault="00583E74" w:rsidP="2840FFB6">
    <w:pPr>
      <w:pStyle w:val="En-tte"/>
    </w:pPr>
  </w:p>
</w:hdr>
</file>

<file path=word/header4.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2840FFB6" w:rsidRDefault="00583E74" w:rsidP="2840FFB6">
    <w:pPr>
      <w:pStyle w:val="Header1"/>
    </w:pPr>
  </w:p>
</w:hdr>
</file>

<file path=word/header5.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2840FFB6" w:rsidRDefault="00583E74" w:rsidP="2840FFB6">
    <w:pPr>
      <w:pStyle w:val="Header1"/>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7C"/>
    <w:multiLevelType w:val="singleLevel"/>
    <w:tmpl w:val="EA58E78E"/>
    <w:lvl w:ilvl="0">
      <w:start w:val="1"/>
      <w:numFmt w:val="decimal"/>
      <w:pStyle w:val="Listenumros5"/>
      <w:lvlText w:val="%1."/>
      <w:lvlJc w:val="left"/>
      <w:pPr>
        <w:tabs>
          <w:tab w:val="num" w:pos="1492"/>
        </w:tabs>
        <w:ind w:left="1492" w:hanging="360"/>
      </w:pPr>
    </w:lvl>
  </w:abstractNum>
  <w:abstractNum w:abstractNumId="1" w15:restartNumberingAfterBreak="0">
    <w:nsid w:val="FFFFFF80"/>
    <w:multiLevelType w:val="singleLevel"/>
    <w:tmpl w:val="E7A64A6A"/>
    <w:lvl w:ilvl="0">
      <w:start w:val="1"/>
      <w:numFmt w:val="bullet"/>
      <w:pStyle w:val="Listepuces5"/>
      <w:lvlText w:val=""/>
      <w:lvlJc w:val="left"/>
      <w:pPr>
        <w:tabs>
          <w:tab w:val="num" w:pos="1492"/>
        </w:tabs>
        <w:ind w:left="1492" w:hanging="360"/>
      </w:pPr>
      <w:rPr>
        <w:rFonts w:ascii="Symbol" w:hAnsi="Symbol" w:hint="default"/>
      </w:rPr>
    </w:lvl>
  </w:abstractNum>
  <w:abstractNum w:abstractNumId="2" w15:restartNumberingAfterBreak="0">
    <w:nsid w:val="08DE61A8"/>
    <w:multiLevelType w:val="hybridMultilevel"/>
    <w:tmpl w:val="686A40CA"/>
    <w:name w:val="LegalNumParListTemplate3"/>
    <w:lvl w:ilvl="0" w:tplc="C360F356">
      <w:start w:val="1"/>
      <w:numFmt w:val="decimal"/>
      <w:lvlText w:val="%1."/>
      <w:lvlJc w:val="left"/>
      <w:pPr>
        <w:tabs>
          <w:tab w:val="num" w:pos="476"/>
        </w:tabs>
        <w:ind w:left="476" w:hanging="476"/>
      </w:pPr>
    </w:lvl>
    <w:lvl w:ilvl="1" w:tplc="B22E08D4" w:tentative="1">
      <w:start w:val="1"/>
      <w:numFmt w:val="lowerLetter"/>
      <w:lvlText w:val="%2."/>
      <w:lvlJc w:val="left"/>
      <w:pPr>
        <w:ind w:left="1440" w:hanging="360"/>
      </w:pPr>
    </w:lvl>
    <w:lvl w:ilvl="2" w:tplc="28BAECD0" w:tentative="1">
      <w:start w:val="1"/>
      <w:numFmt w:val="lowerRoman"/>
      <w:lvlText w:val="%3."/>
      <w:lvlJc w:val="right"/>
      <w:pPr>
        <w:ind w:left="2160" w:hanging="180"/>
      </w:pPr>
    </w:lvl>
    <w:lvl w:ilvl="3" w:tplc="8466D0AE" w:tentative="1">
      <w:start w:val="1"/>
      <w:numFmt w:val="decimal"/>
      <w:lvlText w:val="%4."/>
      <w:lvlJc w:val="left"/>
      <w:pPr>
        <w:ind w:left="2880" w:hanging="360"/>
      </w:pPr>
    </w:lvl>
    <w:lvl w:ilvl="4" w:tplc="4FE0CB76" w:tentative="1">
      <w:start w:val="1"/>
      <w:numFmt w:val="lowerLetter"/>
      <w:lvlText w:val="%5."/>
      <w:lvlJc w:val="left"/>
      <w:pPr>
        <w:ind w:left="3600" w:hanging="360"/>
      </w:pPr>
    </w:lvl>
    <w:lvl w:ilvl="5" w:tplc="273C97DA" w:tentative="1">
      <w:start w:val="1"/>
      <w:numFmt w:val="lowerRoman"/>
      <w:lvlText w:val="%6."/>
      <w:lvlJc w:val="right"/>
      <w:pPr>
        <w:ind w:left="4320" w:hanging="180"/>
      </w:pPr>
    </w:lvl>
    <w:lvl w:ilvl="6" w:tplc="31ECAA8C" w:tentative="1">
      <w:start w:val="1"/>
      <w:numFmt w:val="decimal"/>
      <w:lvlText w:val="%7."/>
      <w:lvlJc w:val="left"/>
      <w:pPr>
        <w:ind w:left="5040" w:hanging="360"/>
      </w:pPr>
    </w:lvl>
    <w:lvl w:ilvl="7" w:tplc="6596895E" w:tentative="1">
      <w:start w:val="1"/>
      <w:numFmt w:val="lowerLetter"/>
      <w:lvlText w:val="%8."/>
      <w:lvlJc w:val="left"/>
      <w:pPr>
        <w:ind w:left="5760" w:hanging="360"/>
      </w:pPr>
    </w:lvl>
    <w:lvl w:ilvl="8" w:tplc="4DD69D7E" w:tentative="1">
      <w:start w:val="1"/>
      <w:numFmt w:val="lowerRoman"/>
      <w:lvlText w:val="%9."/>
      <w:lvlJc w:val="right"/>
      <w:pPr>
        <w:ind w:left="6480" w:hanging="180"/>
      </w:pPr>
    </w:lvl>
  </w:abstractNum>
  <w:abstractNum w:abstractNumId="3" w15:restartNumberingAfterBreak="0">
    <w:nsid w:val="18175D5C"/>
    <w:multiLevelType w:val="hybridMultilevel"/>
    <w:tmpl w:val="9CEED8C8"/>
    <w:lvl w:ilvl="0" w:tplc="2E34011A">
      <w:start w:val="1"/>
      <w:numFmt w:val="bullet"/>
      <w:lvlText w:val="□"/>
      <w:lvlJc w:val="left"/>
      <w:pPr>
        <w:ind w:left="1080" w:hanging="360"/>
      </w:pPr>
      <w:rPr>
        <w:rFonts w:ascii="Courier New" w:hAnsi="Courier New" w:hint="default"/>
        <w:sz w:val="32"/>
        <w:szCs w:val="32"/>
      </w:rPr>
    </w:lvl>
    <w:lvl w:ilvl="1" w:tplc="9FBECD60" w:tentative="1">
      <w:start w:val="1"/>
      <w:numFmt w:val="bullet"/>
      <w:lvlText w:val="o"/>
      <w:lvlJc w:val="left"/>
      <w:pPr>
        <w:ind w:left="1320" w:hanging="360"/>
      </w:pPr>
      <w:rPr>
        <w:rFonts w:ascii="Courier New" w:hAnsi="Courier New" w:cs="Courier New" w:hint="default"/>
      </w:rPr>
    </w:lvl>
    <w:lvl w:ilvl="2" w:tplc="67A23CC2" w:tentative="1">
      <w:start w:val="1"/>
      <w:numFmt w:val="bullet"/>
      <w:lvlText w:val=""/>
      <w:lvlJc w:val="left"/>
      <w:pPr>
        <w:ind w:left="2040" w:hanging="360"/>
      </w:pPr>
      <w:rPr>
        <w:rFonts w:ascii="Wingdings" w:hAnsi="Wingdings" w:hint="default"/>
      </w:rPr>
    </w:lvl>
    <w:lvl w:ilvl="3" w:tplc="32B0DD4A" w:tentative="1">
      <w:start w:val="1"/>
      <w:numFmt w:val="bullet"/>
      <w:lvlText w:val=""/>
      <w:lvlJc w:val="left"/>
      <w:pPr>
        <w:ind w:left="2760" w:hanging="360"/>
      </w:pPr>
      <w:rPr>
        <w:rFonts w:ascii="Symbol" w:hAnsi="Symbol" w:hint="default"/>
      </w:rPr>
    </w:lvl>
    <w:lvl w:ilvl="4" w:tplc="F37C72A8" w:tentative="1">
      <w:start w:val="1"/>
      <w:numFmt w:val="bullet"/>
      <w:lvlText w:val="o"/>
      <w:lvlJc w:val="left"/>
      <w:pPr>
        <w:ind w:left="3480" w:hanging="360"/>
      </w:pPr>
      <w:rPr>
        <w:rFonts w:ascii="Courier New" w:hAnsi="Courier New" w:cs="Courier New" w:hint="default"/>
      </w:rPr>
    </w:lvl>
    <w:lvl w:ilvl="5" w:tplc="0526E974" w:tentative="1">
      <w:start w:val="1"/>
      <w:numFmt w:val="bullet"/>
      <w:lvlText w:val=""/>
      <w:lvlJc w:val="left"/>
      <w:pPr>
        <w:ind w:left="4200" w:hanging="360"/>
      </w:pPr>
      <w:rPr>
        <w:rFonts w:ascii="Wingdings" w:hAnsi="Wingdings" w:hint="default"/>
      </w:rPr>
    </w:lvl>
    <w:lvl w:ilvl="6" w:tplc="9442269C" w:tentative="1">
      <w:start w:val="1"/>
      <w:numFmt w:val="bullet"/>
      <w:lvlText w:val=""/>
      <w:lvlJc w:val="left"/>
      <w:pPr>
        <w:ind w:left="4920" w:hanging="360"/>
      </w:pPr>
      <w:rPr>
        <w:rFonts w:ascii="Symbol" w:hAnsi="Symbol" w:hint="default"/>
      </w:rPr>
    </w:lvl>
    <w:lvl w:ilvl="7" w:tplc="9956114C" w:tentative="1">
      <w:start w:val="1"/>
      <w:numFmt w:val="bullet"/>
      <w:lvlText w:val="o"/>
      <w:lvlJc w:val="left"/>
      <w:pPr>
        <w:ind w:left="5640" w:hanging="360"/>
      </w:pPr>
      <w:rPr>
        <w:rFonts w:ascii="Courier New" w:hAnsi="Courier New" w:cs="Courier New" w:hint="default"/>
      </w:rPr>
    </w:lvl>
    <w:lvl w:ilvl="8" w:tplc="EE3E44A2" w:tentative="1">
      <w:start w:val="1"/>
      <w:numFmt w:val="bullet"/>
      <w:lvlText w:val=""/>
      <w:lvlJc w:val="left"/>
      <w:pPr>
        <w:ind w:left="6360" w:hanging="360"/>
      </w:pPr>
      <w:rPr>
        <w:rFonts w:ascii="Wingdings" w:hAnsi="Wingdings" w:hint="default"/>
      </w:rPr>
    </w:lvl>
  </w:abstractNum>
  <w:abstractNum w:abstractNumId="4" w15:restartNumberingAfterBreak="0">
    <w:nsid w:val="1B1530A4"/>
    <w:multiLevelType w:val="multilevel"/>
    <w:tmpl w:val="8CE23BCC"/>
    <w:lvl w:ilvl="0">
      <w:start w:val="1"/>
      <w:numFmt w:val="decimal"/>
      <w:pStyle w:val="Listenumros2"/>
      <w:lvlText w:val="(%1)"/>
      <w:lvlJc w:val="left"/>
      <w:pPr>
        <w:tabs>
          <w:tab w:val="num" w:pos="1911"/>
        </w:tabs>
        <w:ind w:left="1911" w:hanging="709"/>
      </w:pPr>
    </w:lvl>
    <w:lvl w:ilvl="1">
      <w:start w:val="1"/>
      <w:numFmt w:val="lowerLetter"/>
      <w:pStyle w:val="ListNumber2Level2"/>
      <w:lvlText w:val="(%2)"/>
      <w:lvlJc w:val="left"/>
      <w:pPr>
        <w:tabs>
          <w:tab w:val="num" w:pos="2619"/>
        </w:tabs>
        <w:ind w:left="2619" w:hanging="708"/>
      </w:pPr>
    </w:lvl>
    <w:lvl w:ilvl="2">
      <w:start w:val="1"/>
      <w:numFmt w:val="bullet"/>
      <w:pStyle w:val="ListNumber2Level3"/>
      <w:lvlText w:val="–"/>
      <w:lvlJc w:val="left"/>
      <w:pPr>
        <w:tabs>
          <w:tab w:val="num" w:pos="3328"/>
        </w:tabs>
        <w:ind w:left="3328" w:hanging="709"/>
      </w:pPr>
      <w:rPr>
        <w:rFonts w:ascii="Times New Roman" w:hAnsi="Times New Roman"/>
      </w:rPr>
    </w:lvl>
    <w:lvl w:ilvl="3">
      <w:start w:val="1"/>
      <w:numFmt w:val="bullet"/>
      <w:pStyle w:val="ListNumber2Level4"/>
      <w:lvlText w:val=""/>
      <w:lvlJc w:val="left"/>
      <w:pPr>
        <w:tabs>
          <w:tab w:val="num" w:pos="4037"/>
        </w:tabs>
        <w:ind w:left="4037" w:hanging="709"/>
      </w:pPr>
      <w:rPr>
        <w:rFonts w:ascii="Symbol" w:hAnsi="Symbol"/>
      </w:r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5" w15:restartNumberingAfterBreak="0">
    <w:nsid w:val="1F734306"/>
    <w:multiLevelType w:val="multilevel"/>
    <w:tmpl w:val="D5DE421E"/>
    <w:lvl w:ilvl="0">
      <w:start w:val="1"/>
      <w:numFmt w:val="decimal"/>
      <w:pStyle w:val="Titre1"/>
      <w:lvlText w:val="%1."/>
      <w:lvlJc w:val="left"/>
      <w:pPr>
        <w:tabs>
          <w:tab w:val="num" w:pos="480"/>
        </w:tabs>
        <w:ind w:left="480" w:hanging="480"/>
      </w:pPr>
    </w:lvl>
    <w:lvl w:ilvl="1">
      <w:start w:val="1"/>
      <w:numFmt w:val="decimal"/>
      <w:pStyle w:val="Titre2"/>
      <w:lvlText w:val="%1.%2."/>
      <w:lvlJc w:val="left"/>
      <w:pPr>
        <w:tabs>
          <w:tab w:val="num" w:pos="1200"/>
        </w:tabs>
        <w:ind w:left="1200" w:hanging="720"/>
      </w:pPr>
      <w:rPr>
        <w:i w:val="0"/>
        <w:iCs w:val="0"/>
      </w:rPr>
    </w:lvl>
    <w:lvl w:ilvl="2">
      <w:start w:val="1"/>
      <w:numFmt w:val="decimal"/>
      <w:pStyle w:val="Titre3"/>
      <w:lvlText w:val="%1.%2.%3."/>
      <w:lvlJc w:val="left"/>
      <w:pPr>
        <w:tabs>
          <w:tab w:val="num" w:pos="1920"/>
        </w:tabs>
        <w:ind w:left="1920" w:hanging="720"/>
      </w:pPr>
    </w:lvl>
    <w:lvl w:ilvl="3">
      <w:start w:val="1"/>
      <w:numFmt w:val="decimal"/>
      <w:pStyle w:val="Titre4"/>
      <w:lvlText w:val="%1.%2.%3.%4."/>
      <w:lvlJc w:val="left"/>
      <w:pPr>
        <w:tabs>
          <w:tab w:val="num" w:pos="1920"/>
        </w:tabs>
        <w:ind w:left="1920" w:hanging="72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6" w15:restartNumberingAfterBreak="0">
    <w:nsid w:val="22DD3599"/>
    <w:multiLevelType w:val="multilevel"/>
    <w:tmpl w:val="4EAA5BA6"/>
    <w:lvl w:ilvl="0">
      <w:start w:val="1"/>
      <w:numFmt w:val="decimal"/>
      <w:pStyle w:val="Listenumros"/>
      <w:lvlText w:val="(%1)"/>
      <w:lvlJc w:val="left"/>
      <w:pPr>
        <w:tabs>
          <w:tab w:val="num" w:pos="709"/>
        </w:tabs>
        <w:ind w:left="709" w:hanging="709"/>
      </w:pPr>
    </w:lvl>
    <w:lvl w:ilvl="1">
      <w:start w:val="1"/>
      <w:numFmt w:val="lowerLetter"/>
      <w:pStyle w:val="ListNumberLevel2"/>
      <w:lvlText w:val="(%2)"/>
      <w:lvlJc w:val="left"/>
      <w:pPr>
        <w:tabs>
          <w:tab w:val="num" w:pos="1417"/>
        </w:tabs>
        <w:ind w:left="1417" w:hanging="708"/>
      </w:pPr>
    </w:lvl>
    <w:lvl w:ilvl="2">
      <w:start w:val="1"/>
      <w:numFmt w:val="bullet"/>
      <w:pStyle w:val="ListNumberLevel3"/>
      <w:lvlText w:val="–"/>
      <w:lvlJc w:val="left"/>
      <w:pPr>
        <w:tabs>
          <w:tab w:val="num" w:pos="2126"/>
        </w:tabs>
        <w:ind w:left="2126" w:hanging="709"/>
      </w:pPr>
      <w:rPr>
        <w:rFonts w:ascii="Times New Roman" w:hAnsi="Times New Roman"/>
      </w:rPr>
    </w:lvl>
    <w:lvl w:ilvl="3">
      <w:start w:val="1"/>
      <w:numFmt w:val="bullet"/>
      <w:pStyle w:val="ListNumberLevel4"/>
      <w:lvlText w:val=""/>
      <w:lvlJc w:val="left"/>
      <w:pPr>
        <w:tabs>
          <w:tab w:val="num" w:pos="2835"/>
        </w:tabs>
        <w:ind w:left="2835" w:hanging="709"/>
      </w:pPr>
      <w:rPr>
        <w:rFonts w:ascii="Symbol" w:hAnsi="Symbol"/>
      </w:r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7" w15:restartNumberingAfterBreak="0">
    <w:nsid w:val="2B75631B"/>
    <w:multiLevelType w:val="singleLevel"/>
    <w:tmpl w:val="A4DC141A"/>
    <w:lvl w:ilvl="0">
      <w:start w:val="1"/>
      <w:numFmt w:val="bullet"/>
      <w:pStyle w:val="ListBullet1"/>
      <w:lvlText w:val=""/>
      <w:lvlJc w:val="left"/>
      <w:pPr>
        <w:tabs>
          <w:tab w:val="num" w:pos="765"/>
        </w:tabs>
        <w:ind w:left="765" w:hanging="283"/>
      </w:pPr>
      <w:rPr>
        <w:rFonts w:ascii="Symbol" w:hAnsi="Symbol"/>
      </w:rPr>
    </w:lvl>
  </w:abstractNum>
  <w:abstractNum w:abstractNumId="8" w15:restartNumberingAfterBreak="0">
    <w:nsid w:val="2CAB4527"/>
    <w:multiLevelType w:val="multilevel"/>
    <w:tmpl w:val="26C24C12"/>
    <w:lvl w:ilvl="0">
      <w:start w:val="1"/>
      <w:numFmt w:val="decimal"/>
      <w:pStyle w:val="Listenumros3"/>
      <w:lvlText w:val="(%1)"/>
      <w:lvlJc w:val="left"/>
      <w:pPr>
        <w:tabs>
          <w:tab w:val="num" w:pos="1911"/>
        </w:tabs>
        <w:ind w:left="1911" w:hanging="709"/>
      </w:pPr>
    </w:lvl>
    <w:lvl w:ilvl="1">
      <w:start w:val="1"/>
      <w:numFmt w:val="lowerLetter"/>
      <w:pStyle w:val="ListNumber3Level2"/>
      <w:lvlText w:val="(%2)"/>
      <w:lvlJc w:val="left"/>
      <w:pPr>
        <w:tabs>
          <w:tab w:val="num" w:pos="2619"/>
        </w:tabs>
        <w:ind w:left="2619" w:hanging="708"/>
      </w:pPr>
    </w:lvl>
    <w:lvl w:ilvl="2">
      <w:start w:val="1"/>
      <w:numFmt w:val="bullet"/>
      <w:pStyle w:val="ListNumber3Level3"/>
      <w:lvlText w:val="–"/>
      <w:lvlJc w:val="left"/>
      <w:pPr>
        <w:tabs>
          <w:tab w:val="num" w:pos="3328"/>
        </w:tabs>
        <w:ind w:left="3328" w:hanging="709"/>
      </w:pPr>
      <w:rPr>
        <w:rFonts w:ascii="Times New Roman" w:hAnsi="Times New Roman"/>
      </w:rPr>
    </w:lvl>
    <w:lvl w:ilvl="3">
      <w:start w:val="1"/>
      <w:numFmt w:val="bullet"/>
      <w:pStyle w:val="ListNumber3Level4"/>
      <w:lvlText w:val=""/>
      <w:lvlJc w:val="left"/>
      <w:pPr>
        <w:tabs>
          <w:tab w:val="num" w:pos="4037"/>
        </w:tabs>
        <w:ind w:left="4037" w:hanging="709"/>
      </w:pPr>
      <w:rPr>
        <w:rFonts w:ascii="Symbol" w:hAnsi="Symbol"/>
      </w:r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9" w15:restartNumberingAfterBreak="0">
    <w:nsid w:val="2D293CE3"/>
    <w:multiLevelType w:val="multilevel"/>
    <w:tmpl w:val="8D7C4D2A"/>
    <w:lvl w:ilvl="0">
      <w:start w:val="1"/>
      <w:numFmt w:val="decimal"/>
      <w:pStyle w:val="LegalNumPar"/>
      <w:lvlText w:val="%1."/>
      <w:lvlJc w:val="left"/>
      <w:pPr>
        <w:ind w:left="476" w:hanging="476"/>
      </w:pPr>
      <w:rPr>
        <w:rFonts w:hint="default"/>
      </w:rPr>
    </w:lvl>
    <w:lvl w:ilvl="1">
      <w:start w:val="1"/>
      <w:numFmt w:val="lowerLetter"/>
      <w:pStyle w:val="LegalNumPar2"/>
      <w:lvlText w:val="%2."/>
      <w:lvlJc w:val="left"/>
      <w:pPr>
        <w:ind w:left="953" w:hanging="477"/>
      </w:pPr>
      <w:rPr>
        <w:rFonts w:hint="default"/>
      </w:rPr>
    </w:lvl>
    <w:lvl w:ilvl="2">
      <w:start w:val="1"/>
      <w:numFmt w:val="lowerRoman"/>
      <w:pStyle w:val="LegalNumPar3"/>
      <w:lvlText w:val="%3."/>
      <w:lvlJc w:val="left"/>
      <w:pPr>
        <w:ind w:left="1429" w:hanging="476"/>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10" w15:restartNumberingAfterBreak="0">
    <w:nsid w:val="34293F3F"/>
    <w:multiLevelType w:val="singleLevel"/>
    <w:tmpl w:val="B074E4EC"/>
    <w:lvl w:ilvl="0">
      <w:start w:val="1"/>
      <w:numFmt w:val="bullet"/>
      <w:pStyle w:val="ListDash"/>
      <w:lvlText w:val="–"/>
      <w:lvlJc w:val="left"/>
      <w:pPr>
        <w:tabs>
          <w:tab w:val="num" w:pos="283"/>
        </w:tabs>
        <w:ind w:left="283" w:hanging="283"/>
      </w:pPr>
      <w:rPr>
        <w:rFonts w:ascii="Times New Roman" w:hAnsi="Times New Roman"/>
      </w:rPr>
    </w:lvl>
  </w:abstractNum>
  <w:abstractNum w:abstractNumId="11" w15:restartNumberingAfterBreak="0">
    <w:nsid w:val="358B6119"/>
    <w:multiLevelType w:val="multilevel"/>
    <w:tmpl w:val="A8BA546C"/>
    <w:lvl w:ilvl="0">
      <w:start w:val="1"/>
      <w:numFmt w:val="decimal"/>
      <w:pStyle w:val="ListNumber1"/>
      <w:lvlText w:val="(%1)"/>
      <w:lvlJc w:val="left"/>
      <w:pPr>
        <w:tabs>
          <w:tab w:val="num" w:pos="1191"/>
        </w:tabs>
        <w:ind w:left="1191" w:hanging="709"/>
      </w:pPr>
    </w:lvl>
    <w:lvl w:ilvl="1">
      <w:start w:val="1"/>
      <w:numFmt w:val="lowerLetter"/>
      <w:pStyle w:val="ListNumber1Level2"/>
      <w:lvlText w:val="(%2)"/>
      <w:lvlJc w:val="left"/>
      <w:pPr>
        <w:tabs>
          <w:tab w:val="num" w:pos="1899"/>
        </w:tabs>
        <w:ind w:left="1899" w:hanging="708"/>
      </w:pPr>
    </w:lvl>
    <w:lvl w:ilvl="2">
      <w:start w:val="1"/>
      <w:numFmt w:val="bullet"/>
      <w:pStyle w:val="ListNumber1Level3"/>
      <w:lvlText w:val="–"/>
      <w:lvlJc w:val="left"/>
      <w:pPr>
        <w:tabs>
          <w:tab w:val="num" w:pos="2608"/>
        </w:tabs>
        <w:ind w:left="2608" w:hanging="709"/>
      </w:pPr>
      <w:rPr>
        <w:rFonts w:ascii="Times New Roman" w:hAnsi="Times New Roman"/>
      </w:rPr>
    </w:lvl>
    <w:lvl w:ilvl="3">
      <w:start w:val="1"/>
      <w:numFmt w:val="bullet"/>
      <w:pStyle w:val="ListNumber1Level4"/>
      <w:lvlText w:val=""/>
      <w:lvlJc w:val="left"/>
      <w:pPr>
        <w:tabs>
          <w:tab w:val="num" w:pos="3317"/>
        </w:tabs>
        <w:ind w:left="3317" w:hanging="709"/>
      </w:pPr>
      <w:rPr>
        <w:rFonts w:ascii="Symbol" w:hAnsi="Symbol"/>
      </w:r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12" w15:restartNumberingAfterBreak="0">
    <w:nsid w:val="3AFB6DC8"/>
    <w:multiLevelType w:val="singleLevel"/>
    <w:tmpl w:val="D97CFDF8"/>
    <w:lvl w:ilvl="0">
      <w:start w:val="1"/>
      <w:numFmt w:val="bullet"/>
      <w:pStyle w:val="Listepuces2"/>
      <w:lvlText w:val=""/>
      <w:lvlJc w:val="left"/>
      <w:pPr>
        <w:tabs>
          <w:tab w:val="num" w:pos="1485"/>
        </w:tabs>
        <w:ind w:left="1485" w:hanging="283"/>
      </w:pPr>
      <w:rPr>
        <w:rFonts w:ascii="Symbol" w:hAnsi="Symbol"/>
      </w:rPr>
    </w:lvl>
  </w:abstractNum>
  <w:abstractNum w:abstractNumId="13" w15:restartNumberingAfterBreak="0">
    <w:nsid w:val="3CF00E18"/>
    <w:multiLevelType w:val="singleLevel"/>
    <w:tmpl w:val="4E1A982C"/>
    <w:lvl w:ilvl="0">
      <w:start w:val="1"/>
      <w:numFmt w:val="bullet"/>
      <w:pStyle w:val="Listepuces"/>
      <w:lvlText w:val=""/>
      <w:lvlJc w:val="left"/>
      <w:pPr>
        <w:tabs>
          <w:tab w:val="num" w:pos="283"/>
        </w:tabs>
        <w:ind w:left="283" w:hanging="283"/>
      </w:pPr>
      <w:rPr>
        <w:rFonts w:ascii="Symbol" w:hAnsi="Symbol"/>
      </w:rPr>
    </w:lvl>
  </w:abstractNum>
  <w:abstractNum w:abstractNumId="14" w15:restartNumberingAfterBreak="0">
    <w:nsid w:val="46113D4F"/>
    <w:multiLevelType w:val="singleLevel"/>
    <w:tmpl w:val="A3323CB8"/>
    <w:lvl w:ilvl="0">
      <w:start w:val="1"/>
      <w:numFmt w:val="bullet"/>
      <w:pStyle w:val="ListDash3"/>
      <w:lvlText w:val="–"/>
      <w:lvlJc w:val="left"/>
      <w:pPr>
        <w:tabs>
          <w:tab w:val="num" w:pos="1485"/>
        </w:tabs>
        <w:ind w:left="1485" w:hanging="283"/>
      </w:pPr>
      <w:rPr>
        <w:rFonts w:ascii="Times New Roman" w:hAnsi="Times New Roman"/>
      </w:rPr>
    </w:lvl>
  </w:abstractNum>
  <w:abstractNum w:abstractNumId="15" w15:restartNumberingAfterBreak="0">
    <w:nsid w:val="48836E44"/>
    <w:multiLevelType w:val="multilevel"/>
    <w:tmpl w:val="BE4C256A"/>
    <w:lvl w:ilvl="0">
      <w:start w:val="1"/>
      <w:numFmt w:val="decimal"/>
      <w:lvlText w:val="%1."/>
      <w:lvlJc w:val="left"/>
      <w:pPr>
        <w:ind w:left="480" w:hanging="48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6" w15:restartNumberingAfterBreak="0">
    <w:nsid w:val="54D10AB0"/>
    <w:multiLevelType w:val="singleLevel"/>
    <w:tmpl w:val="5B50620E"/>
    <w:lvl w:ilvl="0">
      <w:start w:val="1"/>
      <w:numFmt w:val="bullet"/>
      <w:pStyle w:val="ListDash4"/>
      <w:lvlText w:val="–"/>
      <w:lvlJc w:val="left"/>
      <w:pPr>
        <w:tabs>
          <w:tab w:val="num" w:pos="1485"/>
        </w:tabs>
        <w:ind w:left="1485" w:hanging="283"/>
      </w:pPr>
      <w:rPr>
        <w:rFonts w:ascii="Times New Roman" w:hAnsi="Times New Roman"/>
      </w:rPr>
    </w:lvl>
  </w:abstractNum>
  <w:abstractNum w:abstractNumId="17" w15:restartNumberingAfterBreak="0">
    <w:nsid w:val="5E0D6286"/>
    <w:multiLevelType w:val="singleLevel"/>
    <w:tmpl w:val="B0567122"/>
    <w:lvl w:ilvl="0">
      <w:start w:val="1"/>
      <w:numFmt w:val="bullet"/>
      <w:pStyle w:val="ListDash2"/>
      <w:lvlText w:val="–"/>
      <w:lvlJc w:val="left"/>
      <w:pPr>
        <w:tabs>
          <w:tab w:val="num" w:pos="1485"/>
        </w:tabs>
        <w:ind w:left="1485" w:hanging="283"/>
      </w:pPr>
      <w:rPr>
        <w:rFonts w:ascii="Times New Roman" w:hAnsi="Times New Roman"/>
      </w:rPr>
    </w:lvl>
  </w:abstractNum>
  <w:abstractNum w:abstractNumId="18" w15:restartNumberingAfterBreak="0">
    <w:nsid w:val="6057433F"/>
    <w:multiLevelType w:val="singleLevel"/>
    <w:tmpl w:val="3D5ECD48"/>
    <w:lvl w:ilvl="0">
      <w:start w:val="1"/>
      <w:numFmt w:val="bullet"/>
      <w:pStyle w:val="ListDash1"/>
      <w:lvlText w:val="–"/>
      <w:lvlJc w:val="left"/>
      <w:pPr>
        <w:tabs>
          <w:tab w:val="num" w:pos="765"/>
        </w:tabs>
        <w:ind w:left="765" w:hanging="283"/>
      </w:pPr>
      <w:rPr>
        <w:rFonts w:ascii="Times New Roman" w:hAnsi="Times New Roman"/>
      </w:rPr>
    </w:lvl>
  </w:abstractNum>
  <w:abstractNum w:abstractNumId="19" w15:restartNumberingAfterBreak="0">
    <w:nsid w:val="620F2440"/>
    <w:multiLevelType w:val="singleLevel"/>
    <w:tmpl w:val="6860A420"/>
    <w:lvl w:ilvl="0">
      <w:start w:val="1"/>
      <w:numFmt w:val="bullet"/>
      <w:pStyle w:val="Listepuces3"/>
      <w:lvlText w:val=""/>
      <w:lvlJc w:val="left"/>
      <w:pPr>
        <w:tabs>
          <w:tab w:val="num" w:pos="1485"/>
        </w:tabs>
        <w:ind w:left="1485" w:hanging="283"/>
      </w:pPr>
      <w:rPr>
        <w:rFonts w:ascii="Symbol" w:hAnsi="Symbol"/>
      </w:rPr>
    </w:lvl>
  </w:abstractNum>
  <w:abstractNum w:abstractNumId="20" w15:restartNumberingAfterBreak="0">
    <w:nsid w:val="6908A257"/>
    <w:multiLevelType w:val="multilevel"/>
    <w:tmpl w:val="D4823730"/>
    <w:lvl w:ilvl="0">
      <w:start w:val="3"/>
      <w:numFmt w:val="decimal"/>
      <w:lvlText w:val="%1."/>
      <w:lvlJc w:val="left"/>
      <w:pPr>
        <w:ind w:left="480" w:hanging="48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1" w15:restartNumberingAfterBreak="0">
    <w:nsid w:val="6DF118C0"/>
    <w:multiLevelType w:val="singleLevel"/>
    <w:tmpl w:val="B90C8B88"/>
    <w:lvl w:ilvl="0">
      <w:start w:val="1"/>
      <w:numFmt w:val="bullet"/>
      <w:pStyle w:val="Listepuces4"/>
      <w:lvlText w:val=""/>
      <w:lvlJc w:val="left"/>
      <w:pPr>
        <w:tabs>
          <w:tab w:val="num" w:pos="1485"/>
        </w:tabs>
        <w:ind w:left="1485" w:hanging="283"/>
      </w:pPr>
      <w:rPr>
        <w:rFonts w:ascii="Symbol" w:hAnsi="Symbol"/>
      </w:rPr>
    </w:lvl>
  </w:abstractNum>
  <w:abstractNum w:abstractNumId="22" w15:restartNumberingAfterBreak="0">
    <w:nsid w:val="722304D7"/>
    <w:multiLevelType w:val="multilevel"/>
    <w:tmpl w:val="9DE2758E"/>
    <w:lvl w:ilvl="0">
      <w:start w:val="1"/>
      <w:numFmt w:val="decimal"/>
      <w:pStyle w:val="Listenumros4"/>
      <w:lvlText w:val="(%1)"/>
      <w:lvlJc w:val="left"/>
      <w:pPr>
        <w:tabs>
          <w:tab w:val="num" w:pos="1911"/>
        </w:tabs>
        <w:ind w:left="1911" w:hanging="709"/>
      </w:pPr>
    </w:lvl>
    <w:lvl w:ilvl="1">
      <w:start w:val="1"/>
      <w:numFmt w:val="lowerLetter"/>
      <w:pStyle w:val="ListNumber4Level2"/>
      <w:lvlText w:val="(%2)"/>
      <w:lvlJc w:val="left"/>
      <w:pPr>
        <w:tabs>
          <w:tab w:val="num" w:pos="2619"/>
        </w:tabs>
        <w:ind w:left="2619" w:hanging="708"/>
      </w:pPr>
    </w:lvl>
    <w:lvl w:ilvl="2">
      <w:start w:val="1"/>
      <w:numFmt w:val="bullet"/>
      <w:pStyle w:val="ListNumber4Level3"/>
      <w:lvlText w:val="–"/>
      <w:lvlJc w:val="left"/>
      <w:pPr>
        <w:tabs>
          <w:tab w:val="num" w:pos="3328"/>
        </w:tabs>
        <w:ind w:left="3328" w:hanging="709"/>
      </w:pPr>
      <w:rPr>
        <w:rFonts w:ascii="Times New Roman" w:hAnsi="Times New Roman"/>
      </w:rPr>
    </w:lvl>
    <w:lvl w:ilvl="3">
      <w:start w:val="1"/>
      <w:numFmt w:val="bullet"/>
      <w:pStyle w:val="ListNumber4Level4"/>
      <w:lvlText w:val=""/>
      <w:lvlJc w:val="left"/>
      <w:pPr>
        <w:tabs>
          <w:tab w:val="num" w:pos="4037"/>
        </w:tabs>
        <w:ind w:left="4037" w:hanging="709"/>
      </w:pPr>
      <w:rPr>
        <w:rFonts w:ascii="Symbol" w:hAnsi="Symbol"/>
      </w:r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23" w15:restartNumberingAfterBreak="0">
    <w:nsid w:val="7C6B63E6"/>
    <w:multiLevelType w:val="singleLevel"/>
    <w:tmpl w:val="0292EEF0"/>
    <w:name w:val="LegalNumParListTemplate"/>
    <w:lvl w:ilvl="0">
      <w:start w:val="1"/>
      <w:numFmt w:val="decimal"/>
      <w:lvlText w:val="%1."/>
      <w:lvlJc w:val="left"/>
      <w:pPr>
        <w:tabs>
          <w:tab w:val="num" w:pos="476"/>
        </w:tabs>
        <w:ind w:left="476" w:hanging="476"/>
      </w:pPr>
    </w:lvl>
  </w:abstractNum>
  <w:abstractNum w:abstractNumId="24" w15:restartNumberingAfterBreak="0">
    <w:nsid w:val="7C6B63E7"/>
    <w:multiLevelType w:val="hybridMultilevel"/>
    <w:tmpl w:val="7C6B63E7"/>
    <w:lvl w:ilvl="0" w:tplc="ACA250F4">
      <w:start w:val="1"/>
      <w:numFmt w:val="bullet"/>
      <w:lvlText w:val=""/>
      <w:lvlJc w:val="left"/>
      <w:pPr>
        <w:tabs>
          <w:tab w:val="num" w:pos="720"/>
        </w:tabs>
        <w:ind w:left="720" w:hanging="360"/>
      </w:pPr>
      <w:rPr>
        <w:rFonts w:ascii="Symbol" w:hAnsi="Symbol"/>
      </w:rPr>
    </w:lvl>
    <w:lvl w:ilvl="1" w:tplc="2B7464F6">
      <w:start w:val="1"/>
      <w:numFmt w:val="bullet"/>
      <w:lvlText w:val="o"/>
      <w:lvlJc w:val="left"/>
      <w:pPr>
        <w:tabs>
          <w:tab w:val="num" w:pos="1440"/>
        </w:tabs>
        <w:ind w:left="1440" w:hanging="360"/>
      </w:pPr>
      <w:rPr>
        <w:rFonts w:ascii="Courier New" w:hAnsi="Courier New"/>
      </w:rPr>
    </w:lvl>
    <w:lvl w:ilvl="2" w:tplc="A066F048">
      <w:start w:val="1"/>
      <w:numFmt w:val="bullet"/>
      <w:lvlText w:val=""/>
      <w:lvlJc w:val="left"/>
      <w:pPr>
        <w:tabs>
          <w:tab w:val="num" w:pos="2160"/>
        </w:tabs>
        <w:ind w:left="2160" w:hanging="360"/>
      </w:pPr>
      <w:rPr>
        <w:rFonts w:ascii="Wingdings" w:hAnsi="Wingdings"/>
      </w:rPr>
    </w:lvl>
    <w:lvl w:ilvl="3" w:tplc="96AAA696">
      <w:start w:val="1"/>
      <w:numFmt w:val="bullet"/>
      <w:lvlText w:val=""/>
      <w:lvlJc w:val="left"/>
      <w:pPr>
        <w:tabs>
          <w:tab w:val="num" w:pos="2880"/>
        </w:tabs>
        <w:ind w:left="2880" w:hanging="360"/>
      </w:pPr>
      <w:rPr>
        <w:rFonts w:ascii="Symbol" w:hAnsi="Symbol"/>
      </w:rPr>
    </w:lvl>
    <w:lvl w:ilvl="4" w:tplc="58CE6EF8">
      <w:start w:val="1"/>
      <w:numFmt w:val="bullet"/>
      <w:lvlText w:val="o"/>
      <w:lvlJc w:val="left"/>
      <w:pPr>
        <w:tabs>
          <w:tab w:val="num" w:pos="3600"/>
        </w:tabs>
        <w:ind w:left="3600" w:hanging="360"/>
      </w:pPr>
      <w:rPr>
        <w:rFonts w:ascii="Courier New" w:hAnsi="Courier New"/>
      </w:rPr>
    </w:lvl>
    <w:lvl w:ilvl="5" w:tplc="79D69E68">
      <w:start w:val="1"/>
      <w:numFmt w:val="bullet"/>
      <w:lvlText w:val=""/>
      <w:lvlJc w:val="left"/>
      <w:pPr>
        <w:tabs>
          <w:tab w:val="num" w:pos="4320"/>
        </w:tabs>
        <w:ind w:left="4320" w:hanging="360"/>
      </w:pPr>
      <w:rPr>
        <w:rFonts w:ascii="Wingdings" w:hAnsi="Wingdings"/>
      </w:rPr>
    </w:lvl>
    <w:lvl w:ilvl="6" w:tplc="95CC4056">
      <w:start w:val="1"/>
      <w:numFmt w:val="bullet"/>
      <w:lvlText w:val=""/>
      <w:lvlJc w:val="left"/>
      <w:pPr>
        <w:tabs>
          <w:tab w:val="num" w:pos="5040"/>
        </w:tabs>
        <w:ind w:left="5040" w:hanging="360"/>
      </w:pPr>
      <w:rPr>
        <w:rFonts w:ascii="Symbol" w:hAnsi="Symbol"/>
      </w:rPr>
    </w:lvl>
    <w:lvl w:ilvl="7" w:tplc="818680B4">
      <w:start w:val="1"/>
      <w:numFmt w:val="bullet"/>
      <w:lvlText w:val="o"/>
      <w:lvlJc w:val="left"/>
      <w:pPr>
        <w:tabs>
          <w:tab w:val="num" w:pos="5760"/>
        </w:tabs>
        <w:ind w:left="5760" w:hanging="360"/>
      </w:pPr>
      <w:rPr>
        <w:rFonts w:ascii="Courier New" w:hAnsi="Courier New"/>
      </w:rPr>
    </w:lvl>
    <w:lvl w:ilvl="8" w:tplc="0B0E8998">
      <w:start w:val="1"/>
      <w:numFmt w:val="bullet"/>
      <w:lvlText w:val=""/>
      <w:lvlJc w:val="left"/>
      <w:pPr>
        <w:tabs>
          <w:tab w:val="num" w:pos="6480"/>
        </w:tabs>
        <w:ind w:left="6480" w:hanging="360"/>
      </w:pPr>
      <w:rPr>
        <w:rFonts w:ascii="Wingdings" w:hAnsi="Wingdings"/>
      </w:rPr>
    </w:lvl>
  </w:abstractNum>
  <w:abstractNum w:abstractNumId="25" w15:restartNumberingAfterBreak="0">
    <w:nsid w:val="7F075154"/>
    <w:multiLevelType w:val="multilevel"/>
    <w:tmpl w:val="D72081BE"/>
    <w:lvl w:ilvl="0">
      <w:start w:val="2"/>
      <w:numFmt w:val="decimal"/>
      <w:lvlText w:val="%1."/>
      <w:lvlJc w:val="left"/>
      <w:pPr>
        <w:ind w:left="480" w:hanging="48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6" w15:restartNumberingAfterBreak="0">
    <w:nsid w:val="7F075155"/>
    <w:multiLevelType w:val="multilevel"/>
    <w:tmpl w:val="D5DE421E"/>
    <w:lvl w:ilvl="0">
      <w:start w:val="1"/>
      <w:numFmt w:val="decimal"/>
      <w:pStyle w:val="Heading10"/>
      <w:lvlText w:val="%1."/>
      <w:lvlJc w:val="left"/>
      <w:pPr>
        <w:tabs>
          <w:tab w:val="num" w:pos="480"/>
        </w:tabs>
        <w:ind w:left="480" w:hanging="480"/>
      </w:pPr>
    </w:lvl>
    <w:lvl w:ilvl="1">
      <w:start w:val="1"/>
      <w:numFmt w:val="decimal"/>
      <w:pStyle w:val="Heading20"/>
      <w:lvlText w:val="%1.%2."/>
      <w:lvlJc w:val="left"/>
      <w:pPr>
        <w:tabs>
          <w:tab w:val="num" w:pos="1200"/>
        </w:tabs>
        <w:ind w:left="1200" w:hanging="720"/>
      </w:pPr>
      <w:rPr>
        <w:i w:val="0"/>
        <w:iCs w:val="0"/>
      </w:rPr>
    </w:lvl>
    <w:lvl w:ilvl="2">
      <w:start w:val="1"/>
      <w:numFmt w:val="decimal"/>
      <w:pStyle w:val="Heading30"/>
      <w:lvlText w:val="%1.%2.%3."/>
      <w:lvlJc w:val="left"/>
      <w:pPr>
        <w:tabs>
          <w:tab w:val="num" w:pos="1920"/>
        </w:tabs>
        <w:ind w:left="1920" w:hanging="720"/>
      </w:pPr>
    </w:lvl>
    <w:lvl w:ilvl="3">
      <w:start w:val="1"/>
      <w:numFmt w:val="decimal"/>
      <w:pStyle w:val="Heading40"/>
      <w:lvlText w:val="%1.%2.%3.%4."/>
      <w:lvlJc w:val="left"/>
      <w:pPr>
        <w:tabs>
          <w:tab w:val="num" w:pos="1920"/>
        </w:tabs>
        <w:ind w:left="1920" w:hanging="72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27" w15:restartNumberingAfterBreak="0">
    <w:nsid w:val="7F075156"/>
    <w:multiLevelType w:val="multilevel"/>
    <w:tmpl w:val="D5DE421E"/>
    <w:lvl w:ilvl="0">
      <w:start w:val="1"/>
      <w:numFmt w:val="decimal"/>
      <w:pStyle w:val="Heading11"/>
      <w:lvlText w:val="%1."/>
      <w:lvlJc w:val="left"/>
      <w:pPr>
        <w:tabs>
          <w:tab w:val="num" w:pos="480"/>
        </w:tabs>
        <w:ind w:left="480" w:hanging="480"/>
      </w:pPr>
    </w:lvl>
    <w:lvl w:ilvl="1">
      <w:start w:val="1"/>
      <w:numFmt w:val="decimal"/>
      <w:pStyle w:val="Heading21"/>
      <w:lvlText w:val="%1.%2."/>
      <w:lvlJc w:val="left"/>
      <w:pPr>
        <w:tabs>
          <w:tab w:val="num" w:pos="1200"/>
        </w:tabs>
        <w:ind w:left="1200" w:hanging="720"/>
      </w:pPr>
      <w:rPr>
        <w:i w:val="0"/>
        <w:iCs w:val="0"/>
      </w:rPr>
    </w:lvl>
    <w:lvl w:ilvl="2">
      <w:start w:val="1"/>
      <w:numFmt w:val="decimal"/>
      <w:pStyle w:val="Heading31"/>
      <w:lvlText w:val="%1.%2.%3."/>
      <w:lvlJc w:val="left"/>
      <w:pPr>
        <w:tabs>
          <w:tab w:val="num" w:pos="1920"/>
        </w:tabs>
        <w:ind w:left="1920" w:hanging="720"/>
      </w:pPr>
    </w:lvl>
    <w:lvl w:ilvl="3">
      <w:start w:val="1"/>
      <w:numFmt w:val="decimal"/>
      <w:pStyle w:val="Heading41"/>
      <w:lvlText w:val="%1.%2.%3.%4."/>
      <w:lvlJc w:val="left"/>
      <w:pPr>
        <w:tabs>
          <w:tab w:val="num" w:pos="1920"/>
        </w:tabs>
        <w:ind w:left="1920" w:hanging="720"/>
      </w:pPr>
    </w:lvl>
    <w:lvl w:ilvl="4">
      <w:start w:val="1"/>
      <w:numFmt w:val="decimal"/>
      <w:lvlText w:val="%1.%2.%3.%4.%5."/>
      <w:lvlJc w:val="left"/>
      <w:pPr>
        <w:tabs>
          <w:tab w:val="num" w:pos="1800"/>
        </w:tabs>
        <w:ind w:left="1800" w:hanging="360"/>
      </w:pPr>
    </w:lvl>
    <w:lvl w:ilvl="5">
      <w:start w:val="1"/>
      <w:numFmt w:val="decimal"/>
      <w:lvlText w:val="%1.%2.%3.%4.%5.%6."/>
      <w:lvlJc w:val="left"/>
      <w:pPr>
        <w:tabs>
          <w:tab w:val="num" w:pos="2160"/>
        </w:tabs>
        <w:ind w:left="2160" w:hanging="360"/>
      </w:pPr>
    </w:lvl>
    <w:lvl w:ilvl="6">
      <w:start w:val="1"/>
      <w:numFmt w:val="decimal"/>
      <w:lvlText w:val="%1.%2.%3.%4.%5.%6.%7."/>
      <w:lvlJc w:val="left"/>
      <w:pPr>
        <w:tabs>
          <w:tab w:val="num" w:pos="2520"/>
        </w:tabs>
        <w:ind w:left="2520" w:hanging="360"/>
      </w:pPr>
    </w:lvl>
    <w:lvl w:ilvl="7">
      <w:start w:val="1"/>
      <w:numFmt w:val="decimal"/>
      <w:lvlText w:val="%1.%2.%3.%4.%5.%6.%7.%8."/>
      <w:lvlJc w:val="left"/>
      <w:pPr>
        <w:tabs>
          <w:tab w:val="num" w:pos="2880"/>
        </w:tabs>
        <w:ind w:left="2880" w:hanging="360"/>
      </w:pPr>
    </w:lvl>
    <w:lvl w:ilvl="8">
      <w:start w:val="1"/>
      <w:numFmt w:val="decimal"/>
      <w:lvlText w:val="%1.%2.%3.%4.%5.%6.%7.%8.%9."/>
      <w:lvlJc w:val="left"/>
      <w:pPr>
        <w:tabs>
          <w:tab w:val="num" w:pos="3240"/>
        </w:tabs>
        <w:ind w:left="3240" w:hanging="360"/>
      </w:pPr>
    </w:lvl>
  </w:abstractNum>
  <w:abstractNum w:abstractNumId="28" w15:restartNumberingAfterBreak="0">
    <w:nsid w:val="7F075157"/>
    <w:multiLevelType w:val="hybridMultilevel"/>
    <w:tmpl w:val="7F075155"/>
    <w:lvl w:ilvl="0" w:tplc="8612DD30">
      <w:start w:val="1"/>
      <w:numFmt w:val="bullet"/>
      <w:lvlText w:val=""/>
      <w:lvlJc w:val="left"/>
      <w:pPr>
        <w:tabs>
          <w:tab w:val="num" w:pos="720"/>
        </w:tabs>
        <w:ind w:left="720" w:hanging="360"/>
      </w:pPr>
      <w:rPr>
        <w:rFonts w:ascii="Symbol" w:hAnsi="Symbol"/>
      </w:rPr>
    </w:lvl>
    <w:lvl w:ilvl="1" w:tplc="16FE8CE6">
      <w:start w:val="1"/>
      <w:numFmt w:val="bullet"/>
      <w:lvlText w:val="o"/>
      <w:lvlJc w:val="left"/>
      <w:pPr>
        <w:tabs>
          <w:tab w:val="num" w:pos="1440"/>
        </w:tabs>
        <w:ind w:left="1440" w:hanging="360"/>
      </w:pPr>
      <w:rPr>
        <w:rFonts w:ascii="Courier New" w:hAnsi="Courier New"/>
      </w:rPr>
    </w:lvl>
    <w:lvl w:ilvl="2" w:tplc="C56C37D6">
      <w:start w:val="1"/>
      <w:numFmt w:val="bullet"/>
      <w:lvlText w:val=""/>
      <w:lvlJc w:val="left"/>
      <w:pPr>
        <w:tabs>
          <w:tab w:val="num" w:pos="2160"/>
        </w:tabs>
        <w:ind w:left="2160" w:hanging="360"/>
      </w:pPr>
      <w:rPr>
        <w:rFonts w:ascii="Wingdings" w:hAnsi="Wingdings"/>
      </w:rPr>
    </w:lvl>
    <w:lvl w:ilvl="3" w:tplc="87E60A56">
      <w:start w:val="1"/>
      <w:numFmt w:val="bullet"/>
      <w:lvlText w:val=""/>
      <w:lvlJc w:val="left"/>
      <w:pPr>
        <w:tabs>
          <w:tab w:val="num" w:pos="2880"/>
        </w:tabs>
        <w:ind w:left="2880" w:hanging="360"/>
      </w:pPr>
      <w:rPr>
        <w:rFonts w:ascii="Symbol" w:hAnsi="Symbol"/>
      </w:rPr>
    </w:lvl>
    <w:lvl w:ilvl="4" w:tplc="C14E85AC">
      <w:start w:val="1"/>
      <w:numFmt w:val="bullet"/>
      <w:lvlText w:val="o"/>
      <w:lvlJc w:val="left"/>
      <w:pPr>
        <w:tabs>
          <w:tab w:val="num" w:pos="3600"/>
        </w:tabs>
        <w:ind w:left="3600" w:hanging="360"/>
      </w:pPr>
      <w:rPr>
        <w:rFonts w:ascii="Courier New" w:hAnsi="Courier New"/>
      </w:rPr>
    </w:lvl>
    <w:lvl w:ilvl="5" w:tplc="909C3480">
      <w:start w:val="1"/>
      <w:numFmt w:val="bullet"/>
      <w:lvlText w:val=""/>
      <w:lvlJc w:val="left"/>
      <w:pPr>
        <w:tabs>
          <w:tab w:val="num" w:pos="4320"/>
        </w:tabs>
        <w:ind w:left="4320" w:hanging="360"/>
      </w:pPr>
      <w:rPr>
        <w:rFonts w:ascii="Wingdings" w:hAnsi="Wingdings"/>
      </w:rPr>
    </w:lvl>
    <w:lvl w:ilvl="6" w:tplc="693EEE96">
      <w:start w:val="1"/>
      <w:numFmt w:val="bullet"/>
      <w:lvlText w:val=""/>
      <w:lvlJc w:val="left"/>
      <w:pPr>
        <w:tabs>
          <w:tab w:val="num" w:pos="5040"/>
        </w:tabs>
        <w:ind w:left="5040" w:hanging="360"/>
      </w:pPr>
      <w:rPr>
        <w:rFonts w:ascii="Symbol" w:hAnsi="Symbol"/>
      </w:rPr>
    </w:lvl>
    <w:lvl w:ilvl="7" w:tplc="91142730">
      <w:start w:val="1"/>
      <w:numFmt w:val="bullet"/>
      <w:lvlText w:val="o"/>
      <w:lvlJc w:val="left"/>
      <w:pPr>
        <w:tabs>
          <w:tab w:val="num" w:pos="5760"/>
        </w:tabs>
        <w:ind w:left="5760" w:hanging="360"/>
      </w:pPr>
      <w:rPr>
        <w:rFonts w:ascii="Courier New" w:hAnsi="Courier New"/>
      </w:rPr>
    </w:lvl>
    <w:lvl w:ilvl="8" w:tplc="E8B8A146">
      <w:start w:val="1"/>
      <w:numFmt w:val="bullet"/>
      <w:lvlText w:val=""/>
      <w:lvlJc w:val="left"/>
      <w:pPr>
        <w:tabs>
          <w:tab w:val="num" w:pos="6480"/>
        </w:tabs>
        <w:ind w:left="6480" w:hanging="360"/>
      </w:pPr>
      <w:rPr>
        <w:rFonts w:ascii="Wingdings" w:hAnsi="Wingdings"/>
      </w:rPr>
    </w:lvl>
  </w:abstractNum>
  <w:abstractNum w:abstractNumId="29" w15:restartNumberingAfterBreak="0">
    <w:nsid w:val="7F075158"/>
    <w:multiLevelType w:val="hybridMultilevel"/>
    <w:tmpl w:val="7F075156"/>
    <w:lvl w:ilvl="0" w:tplc="D94E1624">
      <w:start w:val="1"/>
      <w:numFmt w:val="bullet"/>
      <w:lvlText w:val=""/>
      <w:lvlJc w:val="left"/>
      <w:pPr>
        <w:tabs>
          <w:tab w:val="num" w:pos="720"/>
        </w:tabs>
        <w:ind w:left="720" w:hanging="360"/>
      </w:pPr>
      <w:rPr>
        <w:rFonts w:ascii="Symbol" w:hAnsi="Symbol"/>
      </w:rPr>
    </w:lvl>
    <w:lvl w:ilvl="1" w:tplc="D610D1D4">
      <w:start w:val="1"/>
      <w:numFmt w:val="bullet"/>
      <w:lvlText w:val="o"/>
      <w:lvlJc w:val="left"/>
      <w:pPr>
        <w:tabs>
          <w:tab w:val="num" w:pos="1440"/>
        </w:tabs>
        <w:ind w:left="1440" w:hanging="360"/>
      </w:pPr>
      <w:rPr>
        <w:rFonts w:ascii="Courier New" w:hAnsi="Courier New"/>
      </w:rPr>
    </w:lvl>
    <w:lvl w:ilvl="2" w:tplc="46C4413A">
      <w:start w:val="1"/>
      <w:numFmt w:val="bullet"/>
      <w:lvlText w:val=""/>
      <w:lvlJc w:val="left"/>
      <w:pPr>
        <w:tabs>
          <w:tab w:val="num" w:pos="2160"/>
        </w:tabs>
        <w:ind w:left="2160" w:hanging="360"/>
      </w:pPr>
      <w:rPr>
        <w:rFonts w:ascii="Wingdings" w:hAnsi="Wingdings"/>
      </w:rPr>
    </w:lvl>
    <w:lvl w:ilvl="3" w:tplc="9A2873AE">
      <w:start w:val="1"/>
      <w:numFmt w:val="bullet"/>
      <w:lvlText w:val=""/>
      <w:lvlJc w:val="left"/>
      <w:pPr>
        <w:tabs>
          <w:tab w:val="num" w:pos="2880"/>
        </w:tabs>
        <w:ind w:left="2880" w:hanging="360"/>
      </w:pPr>
      <w:rPr>
        <w:rFonts w:ascii="Symbol" w:hAnsi="Symbol"/>
      </w:rPr>
    </w:lvl>
    <w:lvl w:ilvl="4" w:tplc="6ABE65E2">
      <w:start w:val="1"/>
      <w:numFmt w:val="bullet"/>
      <w:lvlText w:val="o"/>
      <w:lvlJc w:val="left"/>
      <w:pPr>
        <w:tabs>
          <w:tab w:val="num" w:pos="3600"/>
        </w:tabs>
        <w:ind w:left="3600" w:hanging="360"/>
      </w:pPr>
      <w:rPr>
        <w:rFonts w:ascii="Courier New" w:hAnsi="Courier New"/>
      </w:rPr>
    </w:lvl>
    <w:lvl w:ilvl="5" w:tplc="143CB650">
      <w:start w:val="1"/>
      <w:numFmt w:val="bullet"/>
      <w:lvlText w:val=""/>
      <w:lvlJc w:val="left"/>
      <w:pPr>
        <w:tabs>
          <w:tab w:val="num" w:pos="4320"/>
        </w:tabs>
        <w:ind w:left="4320" w:hanging="360"/>
      </w:pPr>
      <w:rPr>
        <w:rFonts w:ascii="Wingdings" w:hAnsi="Wingdings"/>
      </w:rPr>
    </w:lvl>
    <w:lvl w:ilvl="6" w:tplc="8DC89970">
      <w:start w:val="1"/>
      <w:numFmt w:val="bullet"/>
      <w:lvlText w:val=""/>
      <w:lvlJc w:val="left"/>
      <w:pPr>
        <w:tabs>
          <w:tab w:val="num" w:pos="5040"/>
        </w:tabs>
        <w:ind w:left="5040" w:hanging="360"/>
      </w:pPr>
      <w:rPr>
        <w:rFonts w:ascii="Symbol" w:hAnsi="Symbol"/>
      </w:rPr>
    </w:lvl>
    <w:lvl w:ilvl="7" w:tplc="E050FF7E">
      <w:start w:val="1"/>
      <w:numFmt w:val="bullet"/>
      <w:lvlText w:val="o"/>
      <w:lvlJc w:val="left"/>
      <w:pPr>
        <w:tabs>
          <w:tab w:val="num" w:pos="5760"/>
        </w:tabs>
        <w:ind w:left="5760" w:hanging="360"/>
      </w:pPr>
      <w:rPr>
        <w:rFonts w:ascii="Courier New" w:hAnsi="Courier New"/>
      </w:rPr>
    </w:lvl>
    <w:lvl w:ilvl="8" w:tplc="1EBEC266">
      <w:start w:val="1"/>
      <w:numFmt w:val="bullet"/>
      <w:lvlText w:val=""/>
      <w:lvlJc w:val="left"/>
      <w:pPr>
        <w:tabs>
          <w:tab w:val="num" w:pos="6480"/>
        </w:tabs>
        <w:ind w:left="6480" w:hanging="360"/>
      </w:pPr>
      <w:rPr>
        <w:rFonts w:ascii="Wingdings" w:hAnsi="Wingdings"/>
      </w:rPr>
    </w:lvl>
  </w:abstractNum>
  <w:abstractNum w:abstractNumId="30" w15:restartNumberingAfterBreak="0">
    <w:nsid w:val="7F075159"/>
    <w:multiLevelType w:val="hybridMultilevel"/>
    <w:tmpl w:val="7F075157"/>
    <w:lvl w:ilvl="0" w:tplc="124AF7D0">
      <w:start w:val="1"/>
      <w:numFmt w:val="bullet"/>
      <w:lvlText w:val=""/>
      <w:lvlJc w:val="left"/>
      <w:pPr>
        <w:tabs>
          <w:tab w:val="num" w:pos="720"/>
        </w:tabs>
        <w:ind w:left="720" w:hanging="360"/>
      </w:pPr>
      <w:rPr>
        <w:rFonts w:ascii="Symbol" w:hAnsi="Symbol"/>
      </w:rPr>
    </w:lvl>
    <w:lvl w:ilvl="1" w:tplc="B10CCD76">
      <w:start w:val="1"/>
      <w:numFmt w:val="bullet"/>
      <w:lvlText w:val="o"/>
      <w:lvlJc w:val="left"/>
      <w:pPr>
        <w:tabs>
          <w:tab w:val="num" w:pos="1440"/>
        </w:tabs>
        <w:ind w:left="1440" w:hanging="360"/>
      </w:pPr>
      <w:rPr>
        <w:rFonts w:ascii="Courier New" w:hAnsi="Courier New"/>
      </w:rPr>
    </w:lvl>
    <w:lvl w:ilvl="2" w:tplc="D6C86318">
      <w:start w:val="1"/>
      <w:numFmt w:val="bullet"/>
      <w:lvlText w:val=""/>
      <w:lvlJc w:val="left"/>
      <w:pPr>
        <w:tabs>
          <w:tab w:val="num" w:pos="2160"/>
        </w:tabs>
        <w:ind w:left="2160" w:hanging="360"/>
      </w:pPr>
      <w:rPr>
        <w:rFonts w:ascii="Wingdings" w:hAnsi="Wingdings"/>
      </w:rPr>
    </w:lvl>
    <w:lvl w:ilvl="3" w:tplc="2856EDBC">
      <w:start w:val="1"/>
      <w:numFmt w:val="bullet"/>
      <w:lvlText w:val=""/>
      <w:lvlJc w:val="left"/>
      <w:pPr>
        <w:tabs>
          <w:tab w:val="num" w:pos="2880"/>
        </w:tabs>
        <w:ind w:left="2880" w:hanging="360"/>
      </w:pPr>
      <w:rPr>
        <w:rFonts w:ascii="Symbol" w:hAnsi="Symbol"/>
      </w:rPr>
    </w:lvl>
    <w:lvl w:ilvl="4" w:tplc="08D09840">
      <w:start w:val="1"/>
      <w:numFmt w:val="bullet"/>
      <w:lvlText w:val="o"/>
      <w:lvlJc w:val="left"/>
      <w:pPr>
        <w:tabs>
          <w:tab w:val="num" w:pos="3600"/>
        </w:tabs>
        <w:ind w:left="3600" w:hanging="360"/>
      </w:pPr>
      <w:rPr>
        <w:rFonts w:ascii="Courier New" w:hAnsi="Courier New"/>
      </w:rPr>
    </w:lvl>
    <w:lvl w:ilvl="5" w:tplc="5A0CFB16">
      <w:start w:val="1"/>
      <w:numFmt w:val="bullet"/>
      <w:lvlText w:val=""/>
      <w:lvlJc w:val="left"/>
      <w:pPr>
        <w:tabs>
          <w:tab w:val="num" w:pos="4320"/>
        </w:tabs>
        <w:ind w:left="4320" w:hanging="360"/>
      </w:pPr>
      <w:rPr>
        <w:rFonts w:ascii="Wingdings" w:hAnsi="Wingdings"/>
      </w:rPr>
    </w:lvl>
    <w:lvl w:ilvl="6" w:tplc="08143CB2">
      <w:start w:val="1"/>
      <w:numFmt w:val="bullet"/>
      <w:lvlText w:val=""/>
      <w:lvlJc w:val="left"/>
      <w:pPr>
        <w:tabs>
          <w:tab w:val="num" w:pos="5040"/>
        </w:tabs>
        <w:ind w:left="5040" w:hanging="360"/>
      </w:pPr>
      <w:rPr>
        <w:rFonts w:ascii="Symbol" w:hAnsi="Symbol"/>
      </w:rPr>
    </w:lvl>
    <w:lvl w:ilvl="7" w:tplc="FF68C002">
      <w:start w:val="1"/>
      <w:numFmt w:val="bullet"/>
      <w:lvlText w:val="o"/>
      <w:lvlJc w:val="left"/>
      <w:pPr>
        <w:tabs>
          <w:tab w:val="num" w:pos="5760"/>
        </w:tabs>
        <w:ind w:left="5760" w:hanging="360"/>
      </w:pPr>
      <w:rPr>
        <w:rFonts w:ascii="Courier New" w:hAnsi="Courier New"/>
      </w:rPr>
    </w:lvl>
    <w:lvl w:ilvl="8" w:tplc="9E0E07B4">
      <w:start w:val="1"/>
      <w:numFmt w:val="bullet"/>
      <w:lvlText w:val=""/>
      <w:lvlJc w:val="left"/>
      <w:pPr>
        <w:tabs>
          <w:tab w:val="num" w:pos="6480"/>
        </w:tabs>
        <w:ind w:left="6480" w:hanging="360"/>
      </w:pPr>
      <w:rPr>
        <w:rFonts w:ascii="Wingdings" w:hAnsi="Wingdings"/>
      </w:rPr>
    </w:lvl>
  </w:abstractNum>
  <w:num w:numId="1">
    <w:abstractNumId w:val="20"/>
  </w:num>
  <w:num w:numId="2">
    <w:abstractNumId w:val="25"/>
  </w:num>
  <w:num w:numId="3">
    <w:abstractNumId w:val="15"/>
  </w:num>
  <w:num w:numId="4">
    <w:abstractNumId w:val="1"/>
  </w:num>
  <w:num w:numId="5">
    <w:abstractNumId w:val="0"/>
  </w:num>
  <w:num w:numId="6">
    <w:abstractNumId w:val="5"/>
  </w:num>
  <w:num w:numId="7">
    <w:abstractNumId w:val="13"/>
  </w:num>
  <w:num w:numId="8">
    <w:abstractNumId w:val="7"/>
  </w:num>
  <w:num w:numId="9">
    <w:abstractNumId w:val="12"/>
  </w:num>
  <w:num w:numId="10">
    <w:abstractNumId w:val="19"/>
  </w:num>
  <w:num w:numId="11">
    <w:abstractNumId w:val="21"/>
  </w:num>
  <w:num w:numId="12">
    <w:abstractNumId w:val="10"/>
  </w:num>
  <w:num w:numId="13">
    <w:abstractNumId w:val="18"/>
  </w:num>
  <w:num w:numId="14">
    <w:abstractNumId w:val="17"/>
  </w:num>
  <w:num w:numId="15">
    <w:abstractNumId w:val="14"/>
  </w:num>
  <w:num w:numId="16">
    <w:abstractNumId w:val="16"/>
  </w:num>
  <w:num w:numId="17">
    <w:abstractNumId w:val="6"/>
  </w:num>
  <w:num w:numId="18">
    <w:abstractNumId w:val="11"/>
  </w:num>
  <w:num w:numId="19">
    <w:abstractNumId w:val="4"/>
  </w:num>
  <w:num w:numId="20">
    <w:abstractNumId w:val="8"/>
  </w:num>
  <w:num w:numId="21">
    <w:abstractNumId w:val="22"/>
  </w:num>
  <w:num w:numId="22">
    <w:abstractNumId w:val="9"/>
  </w:num>
  <w:num w:numId="23">
    <w:abstractNumId w:val="23"/>
  </w:num>
  <w:num w:numId="24">
    <w:abstractNumId w:val="2"/>
  </w:num>
  <w:num w:numId="25">
    <w:abstractNumId w:val="9"/>
  </w:num>
  <w:num w:numId="26">
    <w:abstractNumId w:val="9"/>
  </w:num>
  <w:num w:numId="27">
    <w:abstractNumId w:val="9"/>
  </w:num>
  <w:num w:numId="28">
    <w:abstractNumId w:val="9"/>
  </w:num>
  <w:num w:numId="29">
    <w:abstractNumId w:val="9"/>
  </w:num>
  <w:num w:numId="30">
    <w:abstractNumId w:val="9"/>
  </w:num>
  <w:num w:numId="31">
    <w:abstractNumId w:val="24"/>
  </w:num>
  <w:num w:numId="32">
    <w:abstractNumId w:val="3"/>
  </w:num>
  <w:num w:numId="33">
    <w:abstractNumId w:val="26"/>
  </w:num>
  <w:num w:numId="34">
    <w:abstractNumId w:val="27"/>
  </w:num>
  <w:num w:numId="35">
    <w:abstractNumId w:val="28"/>
  </w:num>
  <w:num w:numId="36">
    <w:abstractNumId w:val="29"/>
  </w:num>
  <w:num w:numId="37">
    <w:abstractNumId w:val="3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embedSystemFonts/>
  <w:proofState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720"/>
  <w:hyphenationZone w:val="425"/>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LW_DocType" w:val="NORMAL"/>
  </w:docVars>
  <w:rsids>
    <w:rsidRoot w:val="00D15A56"/>
    <w:rsid w:val="00583E74"/>
    <w:rsid w:val="00D15A56"/>
    <w:rsid w:val="00F03B2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8"/>
    <o:shapelayout v:ext="edit">
      <o:idmap v:ext="edit" data="1"/>
    </o:shapelayout>
  </w:shapeDefaults>
  <w:decimalSymbol w:val=","/>
  <w:listSeparator w:val=";"/>
  <w14:docId w14:val="1FD2A4FA"/>
  <w15:docId w15:val="{84DBAD6D-BBBD-4E63-A835-3E06B175F3F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n-GB" w:eastAsia="en-GB"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uiPriority="39" w:qFormat="1"/>
  </w:latentStyles>
  <w:style w:type="paragraph" w:default="1" w:styleId="Normal">
    <w:name w:val="Normal"/>
    <w:qFormat/>
    <w:pPr>
      <w:spacing w:after="240"/>
      <w:jc w:val="both"/>
    </w:pPr>
    <w:rPr>
      <w:sz w:val="24"/>
      <w:lang w:eastAsia="en-US"/>
    </w:rPr>
  </w:style>
  <w:style w:type="paragraph" w:styleId="Titre1">
    <w:name w:val="heading 1"/>
    <w:basedOn w:val="Normal"/>
    <w:next w:val="Text1"/>
    <w:qFormat/>
    <w:rsid w:val="002416FE"/>
    <w:pPr>
      <w:keepNext/>
      <w:numPr>
        <w:numId w:val="6"/>
      </w:numPr>
      <w:spacing w:before="240"/>
      <w:outlineLvl w:val="0"/>
    </w:pPr>
    <w:rPr>
      <w:b/>
    </w:rPr>
  </w:style>
  <w:style w:type="paragraph" w:styleId="Titre2">
    <w:name w:val="heading 2"/>
    <w:basedOn w:val="Normal"/>
    <w:next w:val="Text2"/>
    <w:qFormat/>
    <w:pPr>
      <w:keepNext/>
      <w:numPr>
        <w:ilvl w:val="1"/>
        <w:numId w:val="6"/>
      </w:numPr>
      <w:outlineLvl w:val="1"/>
    </w:pPr>
    <w:rPr>
      <w:b/>
    </w:rPr>
  </w:style>
  <w:style w:type="paragraph" w:styleId="Titre3">
    <w:name w:val="heading 3"/>
    <w:basedOn w:val="Normal"/>
    <w:next w:val="Text3"/>
    <w:qFormat/>
    <w:pPr>
      <w:keepNext/>
      <w:numPr>
        <w:ilvl w:val="2"/>
        <w:numId w:val="6"/>
      </w:numPr>
      <w:outlineLvl w:val="2"/>
    </w:pPr>
    <w:rPr>
      <w:i/>
    </w:rPr>
  </w:style>
  <w:style w:type="paragraph" w:styleId="Titre4">
    <w:name w:val="heading 4"/>
    <w:basedOn w:val="Normal"/>
    <w:next w:val="Text4"/>
    <w:qFormat/>
    <w:pPr>
      <w:keepNext/>
      <w:numPr>
        <w:ilvl w:val="3"/>
        <w:numId w:val="6"/>
      </w:numPr>
      <w:outlineLvl w:val="3"/>
    </w:pPr>
  </w:style>
  <w:style w:type="paragraph" w:styleId="Titre5">
    <w:name w:val="heading 5"/>
    <w:basedOn w:val="Normal"/>
    <w:next w:val="Normal"/>
    <w:qFormat/>
    <w:pPr>
      <w:tabs>
        <w:tab w:val="num" w:pos="0"/>
      </w:tabs>
      <w:spacing w:before="240" w:after="60"/>
      <w:outlineLvl w:val="4"/>
    </w:pPr>
    <w:rPr>
      <w:rFonts w:ascii="Arial" w:hAnsi="Arial"/>
      <w:sz w:val="22"/>
    </w:rPr>
  </w:style>
  <w:style w:type="paragraph" w:styleId="Titre6">
    <w:name w:val="heading 6"/>
    <w:basedOn w:val="Normal"/>
    <w:next w:val="Normal"/>
    <w:qFormat/>
    <w:pPr>
      <w:tabs>
        <w:tab w:val="num" w:pos="0"/>
      </w:tabs>
      <w:spacing w:before="240" w:after="60"/>
      <w:outlineLvl w:val="5"/>
    </w:pPr>
    <w:rPr>
      <w:rFonts w:ascii="Arial" w:hAnsi="Arial"/>
      <w:i/>
      <w:sz w:val="22"/>
    </w:rPr>
  </w:style>
  <w:style w:type="paragraph" w:styleId="Titre7">
    <w:name w:val="heading 7"/>
    <w:basedOn w:val="Normal"/>
    <w:next w:val="Normal"/>
    <w:qFormat/>
    <w:pPr>
      <w:tabs>
        <w:tab w:val="num" w:pos="0"/>
      </w:tabs>
      <w:spacing w:before="240" w:after="60"/>
      <w:outlineLvl w:val="6"/>
    </w:pPr>
    <w:rPr>
      <w:rFonts w:ascii="Arial" w:hAnsi="Arial"/>
      <w:sz w:val="20"/>
    </w:rPr>
  </w:style>
  <w:style w:type="paragraph" w:styleId="Titre8">
    <w:name w:val="heading 8"/>
    <w:basedOn w:val="Normal"/>
    <w:next w:val="Normal"/>
    <w:qFormat/>
    <w:pPr>
      <w:tabs>
        <w:tab w:val="num" w:pos="0"/>
      </w:tabs>
      <w:spacing w:before="240" w:after="60"/>
      <w:outlineLvl w:val="7"/>
    </w:pPr>
    <w:rPr>
      <w:rFonts w:ascii="Arial" w:hAnsi="Arial"/>
      <w:i/>
      <w:sz w:val="20"/>
    </w:rPr>
  </w:style>
  <w:style w:type="paragraph" w:styleId="Titre9">
    <w:name w:val="heading 9"/>
    <w:basedOn w:val="Normal"/>
    <w:next w:val="Normal"/>
    <w:qFormat/>
    <w:pPr>
      <w:tabs>
        <w:tab w:val="num" w:pos="0"/>
      </w:tabs>
      <w:spacing w:before="240" w:after="60"/>
      <w:outlineLvl w:val="8"/>
    </w:pPr>
    <w:rPr>
      <w:rFonts w:ascii="Arial" w:hAnsi="Arial"/>
      <w:i/>
      <w:sz w:val="18"/>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customStyle="1" w:styleId="Text1">
    <w:name w:val="Text 1"/>
    <w:basedOn w:val="Normal"/>
    <w:pPr>
      <w:ind w:left="482"/>
    </w:pPr>
  </w:style>
  <w:style w:type="paragraph" w:customStyle="1" w:styleId="Text2">
    <w:name w:val="Text 2"/>
    <w:basedOn w:val="Normal"/>
    <w:pPr>
      <w:tabs>
        <w:tab w:val="left" w:pos="2302"/>
      </w:tabs>
      <w:ind w:left="1202"/>
    </w:pPr>
  </w:style>
  <w:style w:type="paragraph" w:customStyle="1" w:styleId="Text3">
    <w:name w:val="Text 3"/>
    <w:basedOn w:val="Normal"/>
    <w:pPr>
      <w:tabs>
        <w:tab w:val="left" w:pos="2302"/>
      </w:tabs>
      <w:ind w:left="1202"/>
    </w:pPr>
  </w:style>
  <w:style w:type="paragraph" w:customStyle="1" w:styleId="Text4">
    <w:name w:val="Text 4"/>
    <w:basedOn w:val="Normal"/>
    <w:pPr>
      <w:tabs>
        <w:tab w:val="left" w:pos="2302"/>
      </w:tabs>
      <w:ind w:left="1202"/>
    </w:pPr>
  </w:style>
  <w:style w:type="paragraph" w:customStyle="1" w:styleId="Address">
    <w:name w:val="Address"/>
    <w:basedOn w:val="Normal"/>
    <w:pPr>
      <w:spacing w:after="0"/>
      <w:jc w:val="left"/>
    </w:pPr>
  </w:style>
  <w:style w:type="paragraph" w:customStyle="1" w:styleId="AddressTL">
    <w:name w:val="AddressTL"/>
    <w:basedOn w:val="Normal"/>
    <w:next w:val="Normal"/>
    <w:pPr>
      <w:spacing w:after="720"/>
      <w:jc w:val="left"/>
    </w:pPr>
  </w:style>
  <w:style w:type="paragraph" w:customStyle="1" w:styleId="AddressTR">
    <w:name w:val="AddressTR"/>
    <w:basedOn w:val="Normal"/>
    <w:next w:val="Normal"/>
    <w:pPr>
      <w:spacing w:after="720"/>
      <w:ind w:left="5103"/>
      <w:jc w:val="left"/>
    </w:pPr>
  </w:style>
  <w:style w:type="paragraph" w:styleId="Normalcentr">
    <w:name w:val="Block Text"/>
    <w:basedOn w:val="Normal"/>
    <w:pPr>
      <w:spacing w:after="120"/>
      <w:ind w:left="1440" w:right="1440"/>
    </w:pPr>
  </w:style>
  <w:style w:type="paragraph" w:styleId="Corpsdetexte">
    <w:name w:val="Body Text"/>
    <w:basedOn w:val="Normal"/>
    <w:pPr>
      <w:spacing w:after="120"/>
    </w:pPr>
  </w:style>
  <w:style w:type="paragraph" w:styleId="Corpsdetexte2">
    <w:name w:val="Body Text 2"/>
    <w:basedOn w:val="Normal"/>
    <w:pPr>
      <w:spacing w:after="120" w:line="480" w:lineRule="auto"/>
    </w:pPr>
  </w:style>
  <w:style w:type="paragraph" w:styleId="Corpsdetexte3">
    <w:name w:val="Body Text 3"/>
    <w:basedOn w:val="Normal"/>
    <w:pPr>
      <w:spacing w:after="120"/>
    </w:pPr>
    <w:rPr>
      <w:sz w:val="16"/>
    </w:rPr>
  </w:style>
  <w:style w:type="paragraph" w:styleId="Retrait1religne">
    <w:name w:val="Body Text First Indent"/>
    <w:basedOn w:val="Corpsdetexte"/>
    <w:pPr>
      <w:ind w:firstLine="210"/>
    </w:pPr>
  </w:style>
  <w:style w:type="paragraph" w:styleId="Retraitcorpsdetexte">
    <w:name w:val="Body Text Indent"/>
    <w:basedOn w:val="Normal"/>
    <w:pPr>
      <w:spacing w:after="120"/>
      <w:ind w:left="283"/>
    </w:pPr>
  </w:style>
  <w:style w:type="paragraph" w:styleId="Retraitcorpset1relig">
    <w:name w:val="Body Text First Indent 2"/>
    <w:basedOn w:val="Retraitcorpsdetexte"/>
    <w:pPr>
      <w:ind w:firstLine="210"/>
    </w:pPr>
  </w:style>
  <w:style w:type="paragraph" w:styleId="Retraitcorpsdetexte2">
    <w:name w:val="Body Text Indent 2"/>
    <w:basedOn w:val="Normal"/>
    <w:pPr>
      <w:spacing w:after="120" w:line="480" w:lineRule="auto"/>
      <w:ind w:left="283"/>
    </w:pPr>
  </w:style>
  <w:style w:type="paragraph" w:styleId="Retraitcorpsdetexte3">
    <w:name w:val="Body Text Indent 3"/>
    <w:basedOn w:val="Normal"/>
    <w:pPr>
      <w:spacing w:after="120"/>
      <w:ind w:left="283"/>
    </w:pPr>
    <w:rPr>
      <w:sz w:val="16"/>
    </w:rPr>
  </w:style>
  <w:style w:type="paragraph" w:styleId="Lgende">
    <w:name w:val="caption"/>
    <w:basedOn w:val="Normal"/>
    <w:next w:val="Normal"/>
    <w:qFormat/>
    <w:pPr>
      <w:spacing w:before="120" w:after="120"/>
    </w:pPr>
    <w:rPr>
      <w:b/>
    </w:rPr>
  </w:style>
  <w:style w:type="paragraph" w:customStyle="1" w:styleId="ChapterTitle">
    <w:name w:val="ChapterTitle"/>
    <w:basedOn w:val="Normal"/>
    <w:next w:val="SectionTitle"/>
    <w:pPr>
      <w:keepNext/>
      <w:spacing w:after="480"/>
      <w:jc w:val="center"/>
    </w:pPr>
    <w:rPr>
      <w:b/>
      <w:sz w:val="32"/>
    </w:rPr>
  </w:style>
  <w:style w:type="paragraph" w:customStyle="1" w:styleId="SectionTitle">
    <w:name w:val="SectionTitle"/>
    <w:basedOn w:val="Normal"/>
    <w:next w:val="Titre1"/>
    <w:pPr>
      <w:keepNext/>
      <w:spacing w:after="480"/>
      <w:jc w:val="center"/>
    </w:pPr>
    <w:rPr>
      <w:b/>
      <w:smallCaps/>
      <w:sz w:val="28"/>
    </w:rPr>
  </w:style>
  <w:style w:type="paragraph" w:styleId="Formuledepolitesse">
    <w:name w:val="Closing"/>
    <w:basedOn w:val="Normal"/>
    <w:pPr>
      <w:ind w:left="4252"/>
    </w:pPr>
  </w:style>
  <w:style w:type="paragraph" w:styleId="Commentaire">
    <w:name w:val="annotation text"/>
    <w:basedOn w:val="Normal"/>
    <w:link w:val="CommentaireCar"/>
    <w:semiHidden/>
    <w:rPr>
      <w:sz w:val="20"/>
    </w:rPr>
  </w:style>
  <w:style w:type="paragraph" w:styleId="Date">
    <w:name w:val="Date"/>
    <w:basedOn w:val="Normal"/>
    <w:next w:val="References"/>
    <w:pPr>
      <w:spacing w:after="0"/>
      <w:ind w:left="5103" w:right="-567"/>
      <w:jc w:val="left"/>
    </w:pPr>
  </w:style>
  <w:style w:type="paragraph" w:customStyle="1" w:styleId="References">
    <w:name w:val="References"/>
    <w:basedOn w:val="Normal"/>
    <w:next w:val="AddressTR"/>
    <w:pPr>
      <w:ind w:left="5103"/>
      <w:jc w:val="left"/>
    </w:pPr>
    <w:rPr>
      <w:sz w:val="20"/>
    </w:rPr>
  </w:style>
  <w:style w:type="paragraph" w:styleId="Explorateurdedocuments">
    <w:name w:val="Document Map"/>
    <w:basedOn w:val="Normal"/>
    <w:semiHidden/>
    <w:pPr>
      <w:shd w:val="clear" w:color="auto" w:fill="000080"/>
    </w:pPr>
    <w:rPr>
      <w:rFonts w:ascii="Tahoma" w:hAnsi="Tahoma"/>
    </w:rPr>
  </w:style>
  <w:style w:type="paragraph" w:customStyle="1" w:styleId="DoubSign">
    <w:name w:val="DoubSign"/>
    <w:basedOn w:val="Normal"/>
    <w:next w:val="Enclosures"/>
    <w:pPr>
      <w:tabs>
        <w:tab w:val="left" w:pos="5103"/>
      </w:tabs>
      <w:spacing w:before="1200" w:after="0"/>
      <w:jc w:val="left"/>
    </w:pPr>
  </w:style>
  <w:style w:type="paragraph" w:customStyle="1" w:styleId="Enclosures">
    <w:name w:val="Enclosures"/>
    <w:basedOn w:val="Normal"/>
    <w:pPr>
      <w:keepNext/>
      <w:keepLines/>
      <w:tabs>
        <w:tab w:val="left" w:pos="5642"/>
      </w:tabs>
      <w:spacing w:before="480" w:after="0"/>
      <w:ind w:left="1191" w:hanging="1191"/>
      <w:jc w:val="left"/>
    </w:pPr>
  </w:style>
  <w:style w:type="paragraph" w:styleId="Notedefin">
    <w:name w:val="endnote text"/>
    <w:basedOn w:val="Normal"/>
    <w:semiHidden/>
    <w:rPr>
      <w:sz w:val="20"/>
    </w:rPr>
  </w:style>
  <w:style w:type="paragraph" w:styleId="Adressedestinataire">
    <w:name w:val="envelope address"/>
    <w:basedOn w:val="Normal"/>
    <w:pPr>
      <w:framePr w:w="7920" w:h="1980" w:hRule="exact" w:hSpace="180" w:wrap="auto" w:hAnchor="page" w:xAlign="center" w:yAlign="bottom"/>
      <w:spacing w:after="0"/>
    </w:pPr>
  </w:style>
  <w:style w:type="paragraph" w:styleId="Adresseexpditeur">
    <w:name w:val="envelope return"/>
    <w:basedOn w:val="Normal"/>
    <w:pPr>
      <w:spacing w:after="0"/>
    </w:pPr>
    <w:rPr>
      <w:sz w:val="20"/>
    </w:rPr>
  </w:style>
  <w:style w:type="paragraph" w:styleId="Pieddepage">
    <w:name w:val="footer"/>
    <w:basedOn w:val="Normal"/>
    <w:link w:val="PieddepageCar"/>
    <w:uiPriority w:val="99"/>
    <w:pPr>
      <w:spacing w:after="0"/>
      <w:ind w:right="-567"/>
      <w:jc w:val="left"/>
    </w:pPr>
    <w:rPr>
      <w:rFonts w:ascii="Arial" w:hAnsi="Arial"/>
      <w:sz w:val="16"/>
    </w:rPr>
  </w:style>
  <w:style w:type="paragraph" w:styleId="Notedebasdepage">
    <w:name w:val="footnote text"/>
    <w:basedOn w:val="Normal"/>
    <w:link w:val="NotedebasdepageCar"/>
    <w:uiPriority w:val="99"/>
    <w:pPr>
      <w:ind w:left="357" w:hanging="357"/>
    </w:pPr>
    <w:rPr>
      <w:sz w:val="20"/>
    </w:rPr>
  </w:style>
  <w:style w:type="paragraph" w:styleId="En-tte">
    <w:name w:val="header"/>
    <w:basedOn w:val="Normal"/>
    <w:link w:val="En-tteCar"/>
    <w:uiPriority w:val="99"/>
    <w:pPr>
      <w:tabs>
        <w:tab w:val="center" w:pos="4153"/>
        <w:tab w:val="right" w:pos="8306"/>
      </w:tabs>
    </w:pPr>
  </w:style>
  <w:style w:type="paragraph" w:styleId="Index1">
    <w:name w:val="index 1"/>
    <w:basedOn w:val="Normal"/>
    <w:next w:val="Normal"/>
    <w:autoRedefine/>
    <w:semiHidden/>
    <w:pPr>
      <w:ind w:left="240" w:hanging="240"/>
    </w:pPr>
  </w:style>
  <w:style w:type="paragraph" w:styleId="Index2">
    <w:name w:val="index 2"/>
    <w:basedOn w:val="Normal"/>
    <w:next w:val="Normal"/>
    <w:autoRedefine/>
    <w:semiHidden/>
    <w:pPr>
      <w:ind w:left="480" w:hanging="240"/>
    </w:pPr>
  </w:style>
  <w:style w:type="paragraph" w:styleId="Index3">
    <w:name w:val="index 3"/>
    <w:basedOn w:val="Normal"/>
    <w:next w:val="Normal"/>
    <w:autoRedefine/>
    <w:semiHidden/>
    <w:pPr>
      <w:ind w:left="720" w:hanging="240"/>
    </w:pPr>
  </w:style>
  <w:style w:type="paragraph" w:styleId="Index4">
    <w:name w:val="index 4"/>
    <w:basedOn w:val="Normal"/>
    <w:next w:val="Normal"/>
    <w:autoRedefine/>
    <w:semiHidden/>
    <w:pPr>
      <w:ind w:left="960" w:hanging="240"/>
    </w:pPr>
  </w:style>
  <w:style w:type="paragraph" w:styleId="Index5">
    <w:name w:val="index 5"/>
    <w:basedOn w:val="Normal"/>
    <w:next w:val="Normal"/>
    <w:autoRedefine/>
    <w:semiHidden/>
    <w:pPr>
      <w:ind w:left="1200" w:hanging="240"/>
    </w:pPr>
  </w:style>
  <w:style w:type="paragraph" w:styleId="Index6">
    <w:name w:val="index 6"/>
    <w:basedOn w:val="Normal"/>
    <w:next w:val="Normal"/>
    <w:autoRedefine/>
    <w:semiHidden/>
    <w:pPr>
      <w:ind w:left="1440" w:hanging="240"/>
    </w:pPr>
  </w:style>
  <w:style w:type="paragraph" w:styleId="Index7">
    <w:name w:val="index 7"/>
    <w:basedOn w:val="Normal"/>
    <w:next w:val="Normal"/>
    <w:autoRedefine/>
    <w:semiHidden/>
    <w:pPr>
      <w:ind w:left="1680" w:hanging="240"/>
    </w:pPr>
  </w:style>
  <w:style w:type="paragraph" w:styleId="Index8">
    <w:name w:val="index 8"/>
    <w:basedOn w:val="Normal"/>
    <w:next w:val="Normal"/>
    <w:autoRedefine/>
    <w:semiHidden/>
    <w:pPr>
      <w:ind w:left="1920" w:hanging="240"/>
    </w:pPr>
  </w:style>
  <w:style w:type="paragraph" w:styleId="Index9">
    <w:name w:val="index 9"/>
    <w:basedOn w:val="Normal"/>
    <w:next w:val="Normal"/>
    <w:autoRedefine/>
    <w:semiHidden/>
    <w:pPr>
      <w:ind w:left="2160" w:hanging="240"/>
    </w:pPr>
  </w:style>
  <w:style w:type="paragraph" w:styleId="Titreindex">
    <w:name w:val="index heading"/>
    <w:basedOn w:val="Normal"/>
    <w:next w:val="Index1"/>
    <w:semiHidden/>
    <w:rPr>
      <w:rFonts w:ascii="Arial" w:hAnsi="Arial"/>
      <w:b/>
    </w:rPr>
  </w:style>
  <w:style w:type="paragraph" w:styleId="Liste">
    <w:name w:val="List"/>
    <w:basedOn w:val="Normal"/>
    <w:pPr>
      <w:ind w:left="283" w:hanging="283"/>
    </w:pPr>
  </w:style>
  <w:style w:type="paragraph" w:styleId="Liste2">
    <w:name w:val="List 2"/>
    <w:basedOn w:val="Normal"/>
    <w:pPr>
      <w:ind w:left="566" w:hanging="283"/>
    </w:pPr>
  </w:style>
  <w:style w:type="paragraph" w:styleId="Liste3">
    <w:name w:val="List 3"/>
    <w:basedOn w:val="Normal"/>
    <w:pPr>
      <w:ind w:left="849" w:hanging="283"/>
    </w:pPr>
  </w:style>
  <w:style w:type="paragraph" w:styleId="Liste4">
    <w:name w:val="List 4"/>
    <w:basedOn w:val="Normal"/>
    <w:pPr>
      <w:ind w:left="1132" w:hanging="283"/>
    </w:pPr>
  </w:style>
  <w:style w:type="paragraph" w:styleId="Liste5">
    <w:name w:val="List 5"/>
    <w:basedOn w:val="Normal"/>
    <w:pPr>
      <w:ind w:left="1415" w:hanging="283"/>
    </w:pPr>
  </w:style>
  <w:style w:type="paragraph" w:styleId="Listepuces">
    <w:name w:val="List Bullet"/>
    <w:basedOn w:val="Normal"/>
    <w:pPr>
      <w:numPr>
        <w:numId w:val="7"/>
      </w:numPr>
    </w:pPr>
  </w:style>
  <w:style w:type="paragraph" w:styleId="Listepuces2">
    <w:name w:val="List Bullet 2"/>
    <w:basedOn w:val="Text2"/>
    <w:pPr>
      <w:numPr>
        <w:numId w:val="9"/>
      </w:numPr>
      <w:tabs>
        <w:tab w:val="clear" w:pos="2302"/>
      </w:tabs>
    </w:pPr>
  </w:style>
  <w:style w:type="paragraph" w:styleId="Listepuces3">
    <w:name w:val="List Bullet 3"/>
    <w:basedOn w:val="Text3"/>
    <w:pPr>
      <w:numPr>
        <w:numId w:val="10"/>
      </w:numPr>
      <w:tabs>
        <w:tab w:val="clear" w:pos="2302"/>
      </w:tabs>
    </w:pPr>
  </w:style>
  <w:style w:type="paragraph" w:styleId="Listepuces4">
    <w:name w:val="List Bullet 4"/>
    <w:basedOn w:val="Text4"/>
    <w:pPr>
      <w:numPr>
        <w:numId w:val="11"/>
      </w:numPr>
      <w:tabs>
        <w:tab w:val="clear" w:pos="2302"/>
      </w:tabs>
    </w:pPr>
  </w:style>
  <w:style w:type="paragraph" w:styleId="Listepuces5">
    <w:name w:val="List Bullet 5"/>
    <w:basedOn w:val="Normal"/>
    <w:autoRedefine/>
    <w:pPr>
      <w:numPr>
        <w:numId w:val="4"/>
      </w:numPr>
    </w:pPr>
  </w:style>
  <w:style w:type="paragraph" w:styleId="Listecontinue">
    <w:name w:val="List Continue"/>
    <w:basedOn w:val="Normal"/>
    <w:pPr>
      <w:spacing w:after="120"/>
      <w:ind w:left="283"/>
    </w:pPr>
  </w:style>
  <w:style w:type="paragraph" w:styleId="Listecontinue2">
    <w:name w:val="List Continue 2"/>
    <w:basedOn w:val="Normal"/>
    <w:pPr>
      <w:spacing w:after="120"/>
      <w:ind w:left="566"/>
    </w:pPr>
  </w:style>
  <w:style w:type="paragraph" w:styleId="Listecontinue3">
    <w:name w:val="List Continue 3"/>
    <w:basedOn w:val="Normal"/>
    <w:pPr>
      <w:spacing w:after="120"/>
      <w:ind w:left="849"/>
    </w:pPr>
  </w:style>
  <w:style w:type="paragraph" w:styleId="Listecontinue4">
    <w:name w:val="List Continue 4"/>
    <w:basedOn w:val="Normal"/>
    <w:pPr>
      <w:spacing w:after="120"/>
      <w:ind w:left="1132"/>
    </w:pPr>
  </w:style>
  <w:style w:type="paragraph" w:styleId="Listecontinue5">
    <w:name w:val="List Continue 5"/>
    <w:basedOn w:val="Normal"/>
    <w:pPr>
      <w:spacing w:after="120"/>
      <w:ind w:left="1415"/>
    </w:pPr>
  </w:style>
  <w:style w:type="paragraph" w:styleId="Listenumros">
    <w:name w:val="List Number"/>
    <w:basedOn w:val="Normal"/>
    <w:pPr>
      <w:numPr>
        <w:numId w:val="17"/>
      </w:numPr>
    </w:pPr>
  </w:style>
  <w:style w:type="paragraph" w:styleId="Listenumros2">
    <w:name w:val="List Number 2"/>
    <w:basedOn w:val="Text2"/>
    <w:pPr>
      <w:numPr>
        <w:numId w:val="19"/>
      </w:numPr>
      <w:tabs>
        <w:tab w:val="clear" w:pos="2302"/>
      </w:tabs>
    </w:pPr>
  </w:style>
  <w:style w:type="paragraph" w:styleId="Listenumros3">
    <w:name w:val="List Number 3"/>
    <w:basedOn w:val="Text3"/>
    <w:pPr>
      <w:numPr>
        <w:numId w:val="20"/>
      </w:numPr>
      <w:tabs>
        <w:tab w:val="clear" w:pos="2302"/>
      </w:tabs>
    </w:pPr>
  </w:style>
  <w:style w:type="paragraph" w:styleId="Listenumros4">
    <w:name w:val="List Number 4"/>
    <w:basedOn w:val="Text4"/>
    <w:pPr>
      <w:numPr>
        <w:numId w:val="21"/>
      </w:numPr>
      <w:tabs>
        <w:tab w:val="clear" w:pos="2302"/>
      </w:tabs>
    </w:pPr>
  </w:style>
  <w:style w:type="paragraph" w:styleId="Listenumros5">
    <w:name w:val="List Number 5"/>
    <w:basedOn w:val="Normal"/>
    <w:pPr>
      <w:numPr>
        <w:numId w:val="5"/>
      </w:numPr>
    </w:pPr>
  </w:style>
  <w:style w:type="paragraph" w:styleId="Textedemacro">
    <w:name w:val="macro"/>
    <w:semiHidden/>
    <w:pPr>
      <w:tabs>
        <w:tab w:val="left" w:pos="480"/>
        <w:tab w:val="left" w:pos="960"/>
        <w:tab w:val="left" w:pos="1440"/>
        <w:tab w:val="left" w:pos="1920"/>
        <w:tab w:val="left" w:pos="2400"/>
        <w:tab w:val="left" w:pos="2880"/>
        <w:tab w:val="left" w:pos="3360"/>
        <w:tab w:val="left" w:pos="3840"/>
        <w:tab w:val="left" w:pos="4320"/>
      </w:tabs>
      <w:spacing w:after="240"/>
      <w:jc w:val="both"/>
    </w:pPr>
    <w:rPr>
      <w:rFonts w:ascii="Courier New" w:hAnsi="Courier New"/>
      <w:lang w:eastAsia="en-US"/>
    </w:rPr>
  </w:style>
  <w:style w:type="paragraph" w:styleId="En-ttedemessage">
    <w:name w:val="Message Header"/>
    <w:basedOn w:val="Normal"/>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rPr>
  </w:style>
  <w:style w:type="paragraph" w:styleId="Retraitnormal">
    <w:name w:val="Normal Indent"/>
    <w:basedOn w:val="Normal"/>
    <w:pPr>
      <w:ind w:left="720"/>
    </w:pPr>
  </w:style>
  <w:style w:type="paragraph" w:customStyle="1" w:styleId="NoteHeading1">
    <w:name w:val="Note Heading1"/>
    <w:basedOn w:val="Normal"/>
    <w:next w:val="Normal"/>
  </w:style>
  <w:style w:type="paragraph" w:customStyle="1" w:styleId="NoteHead">
    <w:name w:val="NoteHead"/>
    <w:basedOn w:val="Normal"/>
    <w:next w:val="Subject"/>
    <w:pPr>
      <w:spacing w:before="720" w:after="720"/>
      <w:jc w:val="center"/>
    </w:pPr>
    <w:rPr>
      <w:b/>
      <w:smallCaps/>
    </w:rPr>
  </w:style>
  <w:style w:type="paragraph" w:customStyle="1" w:styleId="Subject">
    <w:name w:val="Subject"/>
    <w:basedOn w:val="Normal"/>
    <w:next w:val="Normal"/>
    <w:pPr>
      <w:spacing w:after="480"/>
      <w:ind w:left="1531" w:hanging="1531"/>
      <w:jc w:val="left"/>
    </w:pPr>
    <w:rPr>
      <w:b/>
    </w:rPr>
  </w:style>
  <w:style w:type="paragraph" w:customStyle="1" w:styleId="NoteList">
    <w:name w:val="NoteList"/>
    <w:basedOn w:val="Normal"/>
    <w:next w:val="Subject"/>
    <w:pPr>
      <w:tabs>
        <w:tab w:val="left" w:pos="5823"/>
      </w:tabs>
      <w:spacing w:before="720" w:after="720"/>
      <w:ind w:left="5104" w:hanging="3119"/>
      <w:jc w:val="left"/>
    </w:pPr>
    <w:rPr>
      <w:b/>
      <w:smallCaps/>
    </w:rPr>
  </w:style>
  <w:style w:type="paragraph" w:customStyle="1" w:styleId="NumPar1">
    <w:name w:val="NumPar 1"/>
    <w:basedOn w:val="Titre1"/>
    <w:next w:val="Text1"/>
    <w:pPr>
      <w:keepNext w:val="0"/>
      <w:spacing w:before="0"/>
      <w:outlineLvl w:val="9"/>
    </w:pPr>
    <w:rPr>
      <w:b w:val="0"/>
      <w:smallCaps/>
    </w:rPr>
  </w:style>
  <w:style w:type="paragraph" w:customStyle="1" w:styleId="NumPar2">
    <w:name w:val="NumPar 2"/>
    <w:basedOn w:val="Titre2"/>
    <w:next w:val="Text2"/>
    <w:pPr>
      <w:keepNext w:val="0"/>
      <w:outlineLvl w:val="9"/>
    </w:pPr>
    <w:rPr>
      <w:b w:val="0"/>
    </w:rPr>
  </w:style>
  <w:style w:type="paragraph" w:customStyle="1" w:styleId="NumPar3">
    <w:name w:val="NumPar 3"/>
    <w:basedOn w:val="Titre3"/>
    <w:next w:val="Text3"/>
    <w:pPr>
      <w:keepNext w:val="0"/>
      <w:outlineLvl w:val="9"/>
    </w:pPr>
    <w:rPr>
      <w:i w:val="0"/>
    </w:rPr>
  </w:style>
  <w:style w:type="paragraph" w:customStyle="1" w:styleId="NumPar4">
    <w:name w:val="NumPar 4"/>
    <w:basedOn w:val="Titre4"/>
    <w:next w:val="Text4"/>
    <w:pPr>
      <w:keepNext w:val="0"/>
      <w:outlineLvl w:val="9"/>
    </w:pPr>
  </w:style>
  <w:style w:type="paragraph" w:customStyle="1" w:styleId="PartTitle">
    <w:name w:val="PartTitle"/>
    <w:basedOn w:val="Normal"/>
    <w:next w:val="ChapterTitle"/>
    <w:pPr>
      <w:keepNext/>
      <w:pageBreakBefore/>
      <w:spacing w:after="480"/>
      <w:jc w:val="center"/>
    </w:pPr>
    <w:rPr>
      <w:b/>
      <w:sz w:val="36"/>
    </w:rPr>
  </w:style>
  <w:style w:type="paragraph" w:styleId="Textebrut">
    <w:name w:val="Plain Text"/>
    <w:basedOn w:val="Normal"/>
    <w:rPr>
      <w:rFonts w:ascii="Courier New" w:hAnsi="Courier New"/>
      <w:sz w:val="20"/>
    </w:rPr>
  </w:style>
  <w:style w:type="paragraph" w:styleId="Salutations">
    <w:name w:val="Salutation"/>
    <w:basedOn w:val="Normal"/>
    <w:next w:val="Normal"/>
  </w:style>
  <w:style w:type="paragraph" w:styleId="Signature">
    <w:name w:val="Signature"/>
    <w:basedOn w:val="Normal"/>
    <w:next w:val="Enclosures"/>
    <w:pPr>
      <w:tabs>
        <w:tab w:val="left" w:pos="5103"/>
      </w:tabs>
      <w:spacing w:before="1200" w:after="0"/>
      <w:ind w:left="5103"/>
      <w:jc w:val="center"/>
    </w:pPr>
  </w:style>
  <w:style w:type="paragraph" w:styleId="Sous-titre">
    <w:name w:val="Subtitle"/>
    <w:basedOn w:val="Normal"/>
    <w:link w:val="Sous-titreCar"/>
    <w:qFormat/>
    <w:pPr>
      <w:spacing w:after="60"/>
      <w:jc w:val="center"/>
      <w:outlineLvl w:val="1"/>
    </w:pPr>
    <w:rPr>
      <w:rFonts w:ascii="Arial" w:hAnsi="Arial"/>
    </w:rPr>
  </w:style>
  <w:style w:type="paragraph" w:customStyle="1" w:styleId="SubTitle1">
    <w:name w:val="SubTitle 1"/>
    <w:basedOn w:val="Normal"/>
    <w:next w:val="SubTitle2"/>
    <w:pPr>
      <w:jc w:val="center"/>
    </w:pPr>
    <w:rPr>
      <w:b/>
      <w:sz w:val="40"/>
    </w:rPr>
  </w:style>
  <w:style w:type="paragraph" w:customStyle="1" w:styleId="SubTitle2">
    <w:name w:val="SubTitle 2"/>
    <w:basedOn w:val="Normal"/>
    <w:pPr>
      <w:jc w:val="center"/>
    </w:pPr>
    <w:rPr>
      <w:b/>
      <w:sz w:val="32"/>
    </w:rPr>
  </w:style>
  <w:style w:type="paragraph" w:styleId="Tabledesrfrencesjuridiques">
    <w:name w:val="table of authorities"/>
    <w:basedOn w:val="Normal"/>
    <w:next w:val="Normal"/>
    <w:semiHidden/>
    <w:pPr>
      <w:ind w:left="240" w:hanging="240"/>
    </w:pPr>
  </w:style>
  <w:style w:type="paragraph" w:styleId="Tabledesillustrations">
    <w:name w:val="table of figures"/>
    <w:basedOn w:val="Normal"/>
    <w:next w:val="Normal"/>
    <w:semiHidden/>
    <w:pPr>
      <w:ind w:left="480" w:hanging="480"/>
    </w:pPr>
  </w:style>
  <w:style w:type="paragraph" w:styleId="Titre">
    <w:name w:val="Title"/>
    <w:basedOn w:val="Normal"/>
    <w:next w:val="SubTitle1"/>
    <w:qFormat/>
    <w:pPr>
      <w:spacing w:after="480"/>
      <w:jc w:val="center"/>
    </w:pPr>
    <w:rPr>
      <w:b/>
      <w:kern w:val="28"/>
      <w:sz w:val="48"/>
    </w:rPr>
  </w:style>
  <w:style w:type="paragraph" w:styleId="TitreTR">
    <w:name w:val="toa heading"/>
    <w:basedOn w:val="Normal"/>
    <w:next w:val="Normal"/>
    <w:semiHidden/>
    <w:pPr>
      <w:spacing w:before="120"/>
    </w:pPr>
    <w:rPr>
      <w:rFonts w:ascii="Arial" w:hAnsi="Arial"/>
      <w:b/>
    </w:rPr>
  </w:style>
  <w:style w:type="paragraph" w:styleId="TM1">
    <w:name w:val="toc 1"/>
    <w:basedOn w:val="Normal"/>
    <w:next w:val="Normal"/>
    <w:semiHidden/>
    <w:pPr>
      <w:tabs>
        <w:tab w:val="right" w:leader="dot" w:pos="8640"/>
      </w:tabs>
      <w:spacing w:before="120" w:after="120"/>
      <w:ind w:left="482" w:right="720" w:hanging="482"/>
    </w:pPr>
    <w:rPr>
      <w:caps/>
    </w:rPr>
  </w:style>
  <w:style w:type="paragraph" w:styleId="TM2">
    <w:name w:val="toc 2"/>
    <w:basedOn w:val="Normal"/>
    <w:next w:val="Normal"/>
    <w:semiHidden/>
    <w:pPr>
      <w:tabs>
        <w:tab w:val="right" w:leader="dot" w:pos="8640"/>
      </w:tabs>
      <w:spacing w:before="60" w:after="60"/>
      <w:ind w:left="1077" w:right="720" w:hanging="595"/>
    </w:pPr>
  </w:style>
  <w:style w:type="paragraph" w:styleId="TM3">
    <w:name w:val="toc 3"/>
    <w:basedOn w:val="Normal"/>
    <w:next w:val="Normal"/>
    <w:semiHidden/>
    <w:pPr>
      <w:tabs>
        <w:tab w:val="right" w:leader="dot" w:pos="8640"/>
      </w:tabs>
      <w:spacing w:before="60" w:after="60"/>
      <w:ind w:left="1916" w:right="720" w:hanging="839"/>
    </w:pPr>
  </w:style>
  <w:style w:type="paragraph" w:styleId="TM4">
    <w:name w:val="toc 4"/>
    <w:basedOn w:val="Normal"/>
    <w:next w:val="Normal"/>
    <w:semiHidden/>
    <w:pPr>
      <w:tabs>
        <w:tab w:val="right" w:leader="dot" w:pos="8641"/>
      </w:tabs>
      <w:spacing w:before="60" w:after="60"/>
      <w:ind w:left="2880" w:right="720" w:hanging="964"/>
    </w:pPr>
  </w:style>
  <w:style w:type="paragraph" w:styleId="TM5">
    <w:name w:val="toc 5"/>
    <w:basedOn w:val="Normal"/>
    <w:next w:val="Normal"/>
    <w:semiHidden/>
    <w:pPr>
      <w:tabs>
        <w:tab w:val="right" w:leader="dot" w:pos="8641"/>
      </w:tabs>
      <w:spacing w:before="240" w:after="120"/>
      <w:ind w:right="720"/>
    </w:pPr>
    <w:rPr>
      <w:caps/>
    </w:rPr>
  </w:style>
  <w:style w:type="paragraph" w:styleId="TM6">
    <w:name w:val="toc 6"/>
    <w:basedOn w:val="Normal"/>
    <w:next w:val="Normal"/>
    <w:autoRedefine/>
    <w:semiHidden/>
    <w:pPr>
      <w:ind w:left="1200"/>
    </w:pPr>
  </w:style>
  <w:style w:type="paragraph" w:styleId="TM7">
    <w:name w:val="toc 7"/>
    <w:basedOn w:val="Normal"/>
    <w:next w:val="Normal"/>
    <w:autoRedefine/>
    <w:semiHidden/>
    <w:pPr>
      <w:ind w:left="1440"/>
    </w:pPr>
  </w:style>
  <w:style w:type="paragraph" w:styleId="TM8">
    <w:name w:val="toc 8"/>
    <w:basedOn w:val="Normal"/>
    <w:next w:val="Normal"/>
    <w:autoRedefine/>
    <w:semiHidden/>
    <w:pPr>
      <w:ind w:left="1680"/>
    </w:pPr>
  </w:style>
  <w:style w:type="paragraph" w:styleId="TM9">
    <w:name w:val="toc 9"/>
    <w:basedOn w:val="Normal"/>
    <w:next w:val="Normal"/>
    <w:autoRedefine/>
    <w:semiHidden/>
    <w:pPr>
      <w:ind w:left="1920"/>
    </w:pPr>
  </w:style>
  <w:style w:type="paragraph" w:customStyle="1" w:styleId="YReferences">
    <w:name w:val="YReferences"/>
    <w:basedOn w:val="Normal"/>
    <w:next w:val="Normal"/>
    <w:pPr>
      <w:spacing w:after="480"/>
      <w:ind w:left="1531" w:hanging="1531"/>
    </w:pPr>
  </w:style>
  <w:style w:type="paragraph" w:customStyle="1" w:styleId="ListBullet1">
    <w:name w:val="List Bullet 1"/>
    <w:basedOn w:val="Text1"/>
    <w:pPr>
      <w:numPr>
        <w:numId w:val="8"/>
      </w:numPr>
    </w:pPr>
  </w:style>
  <w:style w:type="paragraph" w:customStyle="1" w:styleId="ListDash">
    <w:name w:val="List Dash"/>
    <w:basedOn w:val="Normal"/>
    <w:pPr>
      <w:numPr>
        <w:numId w:val="12"/>
      </w:numPr>
    </w:pPr>
  </w:style>
  <w:style w:type="paragraph" w:customStyle="1" w:styleId="ListDash1">
    <w:name w:val="List Dash 1"/>
    <w:basedOn w:val="Text1"/>
    <w:pPr>
      <w:numPr>
        <w:numId w:val="13"/>
      </w:numPr>
    </w:pPr>
  </w:style>
  <w:style w:type="paragraph" w:customStyle="1" w:styleId="ListDash2">
    <w:name w:val="List Dash 2"/>
    <w:basedOn w:val="Text2"/>
    <w:pPr>
      <w:numPr>
        <w:numId w:val="14"/>
      </w:numPr>
      <w:tabs>
        <w:tab w:val="clear" w:pos="2302"/>
      </w:tabs>
    </w:pPr>
  </w:style>
  <w:style w:type="paragraph" w:customStyle="1" w:styleId="ListDash3">
    <w:name w:val="List Dash 3"/>
    <w:basedOn w:val="Text3"/>
    <w:pPr>
      <w:numPr>
        <w:numId w:val="15"/>
      </w:numPr>
      <w:tabs>
        <w:tab w:val="clear" w:pos="2302"/>
      </w:tabs>
    </w:pPr>
  </w:style>
  <w:style w:type="paragraph" w:customStyle="1" w:styleId="ListDash4">
    <w:name w:val="List Dash 4"/>
    <w:basedOn w:val="Text4"/>
    <w:pPr>
      <w:numPr>
        <w:numId w:val="16"/>
      </w:numPr>
      <w:tabs>
        <w:tab w:val="clear" w:pos="2302"/>
      </w:tabs>
    </w:pPr>
  </w:style>
  <w:style w:type="paragraph" w:customStyle="1" w:styleId="ListNumberLevel2">
    <w:name w:val="List Number (Level 2)"/>
    <w:basedOn w:val="Normal"/>
    <w:pPr>
      <w:numPr>
        <w:ilvl w:val="1"/>
        <w:numId w:val="17"/>
      </w:numPr>
    </w:pPr>
  </w:style>
  <w:style w:type="paragraph" w:customStyle="1" w:styleId="ListNumberLevel3">
    <w:name w:val="List Number (Level 3)"/>
    <w:basedOn w:val="Normal"/>
    <w:pPr>
      <w:numPr>
        <w:ilvl w:val="2"/>
        <w:numId w:val="17"/>
      </w:numPr>
    </w:pPr>
  </w:style>
  <w:style w:type="paragraph" w:customStyle="1" w:styleId="ListNumberLevel4">
    <w:name w:val="List Number (Level 4)"/>
    <w:basedOn w:val="Normal"/>
    <w:pPr>
      <w:numPr>
        <w:ilvl w:val="3"/>
        <w:numId w:val="17"/>
      </w:numPr>
    </w:pPr>
  </w:style>
  <w:style w:type="paragraph" w:customStyle="1" w:styleId="ListNumber1">
    <w:name w:val="List Number 1"/>
    <w:basedOn w:val="Text1"/>
    <w:pPr>
      <w:numPr>
        <w:numId w:val="18"/>
      </w:numPr>
    </w:pPr>
  </w:style>
  <w:style w:type="paragraph" w:customStyle="1" w:styleId="ListNumber1Level2">
    <w:name w:val="List Number 1 (Level 2)"/>
    <w:basedOn w:val="Text1"/>
    <w:pPr>
      <w:numPr>
        <w:ilvl w:val="1"/>
        <w:numId w:val="18"/>
      </w:numPr>
    </w:pPr>
  </w:style>
  <w:style w:type="paragraph" w:customStyle="1" w:styleId="ListNumber1Level3">
    <w:name w:val="List Number 1 (Level 3)"/>
    <w:basedOn w:val="Text1"/>
    <w:pPr>
      <w:numPr>
        <w:ilvl w:val="2"/>
        <w:numId w:val="18"/>
      </w:numPr>
    </w:pPr>
  </w:style>
  <w:style w:type="paragraph" w:customStyle="1" w:styleId="ListNumber1Level4">
    <w:name w:val="List Number 1 (Level 4)"/>
    <w:basedOn w:val="Text1"/>
    <w:pPr>
      <w:numPr>
        <w:ilvl w:val="3"/>
        <w:numId w:val="18"/>
      </w:numPr>
    </w:pPr>
  </w:style>
  <w:style w:type="paragraph" w:customStyle="1" w:styleId="ListNumber2Level2">
    <w:name w:val="List Number 2 (Level 2)"/>
    <w:basedOn w:val="Text2"/>
    <w:pPr>
      <w:numPr>
        <w:ilvl w:val="1"/>
        <w:numId w:val="19"/>
      </w:numPr>
      <w:tabs>
        <w:tab w:val="clear" w:pos="2302"/>
      </w:tabs>
    </w:pPr>
  </w:style>
  <w:style w:type="paragraph" w:customStyle="1" w:styleId="ListNumber2Level3">
    <w:name w:val="List Number 2 (Level 3)"/>
    <w:basedOn w:val="Text2"/>
    <w:pPr>
      <w:numPr>
        <w:ilvl w:val="2"/>
        <w:numId w:val="19"/>
      </w:numPr>
      <w:tabs>
        <w:tab w:val="clear" w:pos="2302"/>
      </w:tabs>
    </w:pPr>
  </w:style>
  <w:style w:type="paragraph" w:customStyle="1" w:styleId="ListNumber2Level4">
    <w:name w:val="List Number 2 (Level 4)"/>
    <w:basedOn w:val="Text2"/>
    <w:pPr>
      <w:numPr>
        <w:ilvl w:val="3"/>
        <w:numId w:val="19"/>
      </w:numPr>
      <w:tabs>
        <w:tab w:val="clear" w:pos="2302"/>
      </w:tabs>
    </w:pPr>
  </w:style>
  <w:style w:type="paragraph" w:customStyle="1" w:styleId="ListNumber3Level2">
    <w:name w:val="List Number 3 (Level 2)"/>
    <w:basedOn w:val="Text3"/>
    <w:pPr>
      <w:numPr>
        <w:ilvl w:val="1"/>
        <w:numId w:val="20"/>
      </w:numPr>
      <w:tabs>
        <w:tab w:val="clear" w:pos="2302"/>
      </w:tabs>
    </w:pPr>
  </w:style>
  <w:style w:type="paragraph" w:customStyle="1" w:styleId="ListNumber3Level3">
    <w:name w:val="List Number 3 (Level 3)"/>
    <w:basedOn w:val="Text3"/>
    <w:pPr>
      <w:numPr>
        <w:ilvl w:val="2"/>
        <w:numId w:val="20"/>
      </w:numPr>
      <w:tabs>
        <w:tab w:val="clear" w:pos="2302"/>
      </w:tabs>
    </w:pPr>
  </w:style>
  <w:style w:type="paragraph" w:customStyle="1" w:styleId="ListNumber3Level4">
    <w:name w:val="List Number 3 (Level 4)"/>
    <w:basedOn w:val="Text3"/>
    <w:pPr>
      <w:numPr>
        <w:ilvl w:val="3"/>
        <w:numId w:val="20"/>
      </w:numPr>
      <w:tabs>
        <w:tab w:val="clear" w:pos="2302"/>
      </w:tabs>
    </w:pPr>
  </w:style>
  <w:style w:type="paragraph" w:customStyle="1" w:styleId="ListNumber4Level2">
    <w:name w:val="List Number 4 (Level 2)"/>
    <w:basedOn w:val="Text4"/>
    <w:pPr>
      <w:numPr>
        <w:ilvl w:val="1"/>
        <w:numId w:val="21"/>
      </w:numPr>
      <w:tabs>
        <w:tab w:val="clear" w:pos="2302"/>
      </w:tabs>
    </w:pPr>
  </w:style>
  <w:style w:type="paragraph" w:customStyle="1" w:styleId="ListNumber4Level3">
    <w:name w:val="List Number 4 (Level 3)"/>
    <w:basedOn w:val="Text4"/>
    <w:pPr>
      <w:numPr>
        <w:ilvl w:val="2"/>
        <w:numId w:val="21"/>
      </w:numPr>
      <w:tabs>
        <w:tab w:val="clear" w:pos="2302"/>
      </w:tabs>
    </w:pPr>
  </w:style>
  <w:style w:type="paragraph" w:customStyle="1" w:styleId="ListNumber4Level4">
    <w:name w:val="List Number 4 (Level 4)"/>
    <w:basedOn w:val="Text4"/>
    <w:pPr>
      <w:numPr>
        <w:ilvl w:val="3"/>
        <w:numId w:val="21"/>
      </w:numPr>
      <w:tabs>
        <w:tab w:val="clear" w:pos="2302"/>
      </w:tabs>
    </w:pPr>
  </w:style>
  <w:style w:type="paragraph" w:styleId="En-ttedetabledesmatires">
    <w:name w:val="TOC Heading"/>
    <w:basedOn w:val="Normal"/>
    <w:next w:val="Normal"/>
    <w:qFormat/>
    <w:pPr>
      <w:keepNext/>
      <w:spacing w:before="240"/>
      <w:jc w:val="center"/>
    </w:pPr>
    <w:rPr>
      <w:b/>
    </w:rPr>
  </w:style>
  <w:style w:type="paragraph" w:customStyle="1" w:styleId="Contact">
    <w:name w:val="Contact"/>
    <w:basedOn w:val="Normal"/>
    <w:next w:val="Normal"/>
    <w:uiPriority w:val="99"/>
    <w:pPr>
      <w:spacing w:after="480"/>
      <w:ind w:left="567" w:hanging="567"/>
      <w:jc w:val="left"/>
    </w:pPr>
  </w:style>
  <w:style w:type="paragraph" w:customStyle="1" w:styleId="Designator">
    <w:name w:val="Designator"/>
    <w:basedOn w:val="Normal"/>
    <w:pPr>
      <w:spacing w:after="0"/>
      <w:jc w:val="center"/>
    </w:pPr>
    <w:rPr>
      <w:b/>
      <w:caps/>
      <w:sz w:val="32"/>
    </w:rPr>
  </w:style>
  <w:style w:type="paragraph" w:customStyle="1" w:styleId="Releasable">
    <w:name w:val="Releasable"/>
    <w:basedOn w:val="Normal"/>
    <w:qFormat/>
    <w:pPr>
      <w:spacing w:after="0"/>
      <w:jc w:val="center"/>
    </w:pPr>
    <w:rPr>
      <w:b/>
      <w:caps/>
      <w:sz w:val="32"/>
      <w:lang w:val="de-DE"/>
    </w:rPr>
  </w:style>
  <w:style w:type="paragraph" w:customStyle="1" w:styleId="RUE">
    <w:name w:val="RUE"/>
    <w:basedOn w:val="Normal"/>
    <w:pPr>
      <w:spacing w:after="0"/>
      <w:jc w:val="center"/>
    </w:pPr>
    <w:rPr>
      <w:b/>
      <w:caps/>
      <w:sz w:val="32"/>
      <w:bdr w:val="single" w:sz="18" w:space="0" w:color="auto"/>
      <w:lang w:val="de-DE"/>
    </w:rPr>
  </w:style>
  <w:style w:type="paragraph" w:customStyle="1" w:styleId="ConfidentialUE">
    <w:name w:val="Confidential UE"/>
    <w:basedOn w:val="Normal"/>
    <w:pPr>
      <w:spacing w:after="0"/>
      <w:jc w:val="center"/>
    </w:pPr>
    <w:rPr>
      <w:b/>
      <w:caps/>
      <w:sz w:val="32"/>
      <w:bdr w:val="single" w:sz="18" w:space="0" w:color="auto"/>
    </w:rPr>
  </w:style>
  <w:style w:type="paragraph" w:customStyle="1" w:styleId="SecretUE">
    <w:name w:val="Secret UE"/>
    <w:basedOn w:val="Normal"/>
    <w:pPr>
      <w:spacing w:after="0"/>
      <w:jc w:val="center"/>
    </w:pPr>
    <w:rPr>
      <w:b/>
      <w:caps/>
      <w:color w:val="FF0000"/>
      <w:sz w:val="32"/>
      <w:bdr w:val="single" w:sz="18" w:space="0" w:color="FF0000"/>
    </w:rPr>
  </w:style>
  <w:style w:type="paragraph" w:customStyle="1" w:styleId="TrsSecretUE">
    <w:name w:val="Très Secret UE"/>
    <w:basedOn w:val="Normal"/>
    <w:pPr>
      <w:spacing w:after="0"/>
      <w:jc w:val="center"/>
    </w:pPr>
    <w:rPr>
      <w:b/>
      <w:caps/>
      <w:color w:val="FF0000"/>
      <w:sz w:val="32"/>
      <w:bdr w:val="single" w:sz="18" w:space="0" w:color="FF0000"/>
    </w:rPr>
  </w:style>
  <w:style w:type="paragraph" w:customStyle="1" w:styleId="LegalNumPar">
    <w:name w:val="LegalNumPar"/>
    <w:basedOn w:val="Normal"/>
    <w:pPr>
      <w:numPr>
        <w:numId w:val="30"/>
      </w:numPr>
      <w:spacing w:line="360" w:lineRule="auto"/>
      <w:jc w:val="left"/>
    </w:pPr>
    <w:rPr>
      <w:rFonts w:eastAsiaTheme="minorHAnsi"/>
      <w:szCs w:val="22"/>
    </w:rPr>
  </w:style>
  <w:style w:type="paragraph" w:customStyle="1" w:styleId="LegalNumPar2">
    <w:name w:val="LegalNumPar2"/>
    <w:basedOn w:val="Normal"/>
    <w:pPr>
      <w:numPr>
        <w:ilvl w:val="1"/>
        <w:numId w:val="30"/>
      </w:numPr>
      <w:spacing w:line="360" w:lineRule="auto"/>
      <w:ind w:left="952" w:hanging="476"/>
      <w:jc w:val="left"/>
    </w:pPr>
    <w:rPr>
      <w:rFonts w:eastAsiaTheme="minorHAnsi"/>
      <w:szCs w:val="22"/>
    </w:rPr>
  </w:style>
  <w:style w:type="paragraph" w:customStyle="1" w:styleId="LegalNumPar3">
    <w:name w:val="LegalNumPar3"/>
    <w:basedOn w:val="Normal"/>
    <w:pPr>
      <w:numPr>
        <w:ilvl w:val="2"/>
        <w:numId w:val="30"/>
      </w:numPr>
      <w:spacing w:line="360" w:lineRule="auto"/>
      <w:jc w:val="left"/>
    </w:pPr>
    <w:rPr>
      <w:rFonts w:eastAsiaTheme="minorHAnsi"/>
      <w:szCs w:val="22"/>
    </w:rPr>
  </w:style>
  <w:style w:type="character" w:customStyle="1" w:styleId="PieddepageCar">
    <w:name w:val="Pied de page Car"/>
    <w:basedOn w:val="Policepardfaut"/>
    <w:link w:val="Pieddepage"/>
    <w:uiPriority w:val="99"/>
    <w:rsid w:val="00951854"/>
    <w:rPr>
      <w:rFonts w:ascii="Arial" w:hAnsi="Arial"/>
      <w:sz w:val="16"/>
      <w:lang w:eastAsia="en-US"/>
    </w:rPr>
  </w:style>
  <w:style w:type="paragraph" w:customStyle="1" w:styleId="ZCom">
    <w:name w:val="Z_Com"/>
    <w:basedOn w:val="Normal"/>
    <w:next w:val="ZDGName"/>
    <w:uiPriority w:val="99"/>
    <w:rsid w:val="00951854"/>
    <w:pPr>
      <w:widowControl w:val="0"/>
      <w:autoSpaceDE w:val="0"/>
      <w:autoSpaceDN w:val="0"/>
      <w:spacing w:after="0"/>
      <w:ind w:right="85"/>
    </w:pPr>
    <w:rPr>
      <w:rFonts w:ascii="Arial" w:eastAsiaTheme="minorEastAsia" w:hAnsi="Arial" w:cs="Arial"/>
      <w:szCs w:val="24"/>
      <w:lang w:eastAsia="en-GB"/>
    </w:rPr>
  </w:style>
  <w:style w:type="paragraph" w:customStyle="1" w:styleId="ZDGName">
    <w:name w:val="Z_DGName"/>
    <w:basedOn w:val="Normal"/>
    <w:uiPriority w:val="99"/>
    <w:rsid w:val="00951854"/>
    <w:pPr>
      <w:widowControl w:val="0"/>
      <w:autoSpaceDE w:val="0"/>
      <w:autoSpaceDN w:val="0"/>
      <w:spacing w:after="0"/>
      <w:ind w:right="85"/>
      <w:jc w:val="left"/>
    </w:pPr>
    <w:rPr>
      <w:rFonts w:ascii="Arial" w:eastAsiaTheme="minorEastAsia" w:hAnsi="Arial" w:cs="Arial"/>
      <w:sz w:val="16"/>
      <w:szCs w:val="16"/>
      <w:lang w:eastAsia="en-GB"/>
    </w:rPr>
  </w:style>
  <w:style w:type="character" w:customStyle="1" w:styleId="En-tteCar">
    <w:name w:val="En-tête Car"/>
    <w:basedOn w:val="Policepardfaut"/>
    <w:link w:val="En-tte"/>
    <w:uiPriority w:val="99"/>
    <w:rsid w:val="00951854"/>
    <w:rPr>
      <w:sz w:val="24"/>
      <w:lang w:eastAsia="en-US"/>
    </w:rPr>
  </w:style>
  <w:style w:type="character" w:styleId="Marquedecommentaire">
    <w:name w:val="annotation reference"/>
    <w:basedOn w:val="Policepardfaut"/>
    <w:uiPriority w:val="99"/>
    <w:semiHidden/>
    <w:unhideWhenUsed/>
    <w:rsid w:val="00814485"/>
    <w:rPr>
      <w:sz w:val="16"/>
      <w:szCs w:val="16"/>
    </w:rPr>
  </w:style>
  <w:style w:type="paragraph" w:styleId="Objetducommentaire">
    <w:name w:val="annotation subject"/>
    <w:basedOn w:val="Commentaire"/>
    <w:next w:val="Commentaire"/>
    <w:link w:val="ObjetducommentaireCar"/>
    <w:uiPriority w:val="99"/>
    <w:semiHidden/>
    <w:unhideWhenUsed/>
    <w:rsid w:val="00814485"/>
    <w:rPr>
      <w:b/>
      <w:bCs/>
    </w:rPr>
  </w:style>
  <w:style w:type="character" w:customStyle="1" w:styleId="CommentaireCar">
    <w:name w:val="Commentaire Car"/>
    <w:basedOn w:val="Policepardfaut"/>
    <w:link w:val="Commentaire"/>
    <w:semiHidden/>
    <w:rsid w:val="00814485"/>
    <w:rPr>
      <w:lang w:eastAsia="en-US"/>
    </w:rPr>
  </w:style>
  <w:style w:type="character" w:customStyle="1" w:styleId="ObjetducommentaireCar">
    <w:name w:val="Objet du commentaire Car"/>
    <w:basedOn w:val="CommentaireCar"/>
    <w:link w:val="Objetducommentaire"/>
    <w:uiPriority w:val="99"/>
    <w:semiHidden/>
    <w:rsid w:val="00814485"/>
    <w:rPr>
      <w:b/>
      <w:bCs/>
      <w:lang w:eastAsia="en-US"/>
    </w:rPr>
  </w:style>
  <w:style w:type="paragraph" w:styleId="Paragraphedeliste">
    <w:name w:val="List Paragraph"/>
    <w:basedOn w:val="Normal"/>
    <w:uiPriority w:val="34"/>
    <w:qFormat/>
    <w:rsid w:val="00814485"/>
    <w:pPr>
      <w:ind w:left="720"/>
      <w:contextualSpacing/>
    </w:pPr>
  </w:style>
  <w:style w:type="paragraph" w:styleId="Rvision">
    <w:name w:val="Revision"/>
    <w:hidden/>
    <w:uiPriority w:val="99"/>
    <w:semiHidden/>
    <w:rsid w:val="00FB3C1A"/>
    <w:rPr>
      <w:sz w:val="24"/>
      <w:lang w:eastAsia="en-US"/>
    </w:rPr>
  </w:style>
  <w:style w:type="character" w:customStyle="1" w:styleId="NotedebasdepageCar">
    <w:name w:val="Note de bas de page Car"/>
    <w:basedOn w:val="Policepardfaut"/>
    <w:link w:val="Notedebasdepage"/>
    <w:uiPriority w:val="99"/>
    <w:rsid w:val="00132807"/>
    <w:rPr>
      <w:lang w:eastAsia="en-US"/>
    </w:rPr>
  </w:style>
  <w:style w:type="character" w:styleId="Appelnotedebasdep">
    <w:name w:val="footnote reference"/>
    <w:basedOn w:val="Policepardfaut"/>
    <w:uiPriority w:val="99"/>
    <w:semiHidden/>
    <w:unhideWhenUsed/>
    <w:rsid w:val="00132807"/>
    <w:rPr>
      <w:vertAlign w:val="superscript"/>
    </w:rPr>
  </w:style>
  <w:style w:type="character" w:styleId="Lienhypertexte">
    <w:name w:val="Hyperlink"/>
    <w:basedOn w:val="Policepardfaut"/>
    <w:uiPriority w:val="99"/>
    <w:unhideWhenUsed/>
    <w:rsid w:val="00132807"/>
    <w:rPr>
      <w:color w:val="0000FF" w:themeColor="hyperlink"/>
      <w:u w:val="single"/>
    </w:rPr>
  </w:style>
  <w:style w:type="character" w:customStyle="1" w:styleId="Sous-titreCar">
    <w:name w:val="Sous-titre Car"/>
    <w:basedOn w:val="Policepardfaut"/>
    <w:link w:val="Sous-titre"/>
    <w:rsid w:val="00D81A2D"/>
    <w:rPr>
      <w:rFonts w:ascii="Arial" w:hAnsi="Arial"/>
      <w:sz w:val="24"/>
      <w:lang w:eastAsia="en-US"/>
    </w:rPr>
  </w:style>
  <w:style w:type="table" w:styleId="Grilledutableau">
    <w:name w:val="Table Grid"/>
    <w:basedOn w:val="TableauNormal"/>
    <w:uiPriority w:val="59"/>
    <w:rsid w:val="00FB4123"/>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customStyle="1" w:styleId="Header0">
    <w:name w:val="Header_0"/>
    <w:basedOn w:val="Normal0"/>
    <w:link w:val="HeaderChar0"/>
    <w:uiPriority w:val="99"/>
    <w:pPr>
      <w:tabs>
        <w:tab w:val="center" w:pos="4153"/>
        <w:tab w:val="right" w:pos="8306"/>
      </w:tabs>
    </w:pPr>
  </w:style>
  <w:style w:type="paragraph" w:customStyle="1" w:styleId="Normal0">
    <w:name w:val="Normal_0"/>
    <w:qFormat/>
    <w:pPr>
      <w:spacing w:after="240"/>
      <w:jc w:val="both"/>
    </w:pPr>
    <w:rPr>
      <w:sz w:val="24"/>
      <w:lang w:eastAsia="en-US"/>
    </w:rPr>
  </w:style>
  <w:style w:type="character" w:customStyle="1" w:styleId="HeaderChar0">
    <w:name w:val="Header Char_0"/>
    <w:basedOn w:val="Policepardfaut"/>
    <w:link w:val="Header0"/>
    <w:uiPriority w:val="99"/>
    <w:rsid w:val="00951854"/>
    <w:rPr>
      <w:sz w:val="24"/>
      <w:lang w:eastAsia="en-US"/>
    </w:rPr>
  </w:style>
  <w:style w:type="paragraph" w:customStyle="1" w:styleId="Footer0">
    <w:name w:val="Footer_0"/>
    <w:basedOn w:val="Normal0"/>
    <w:link w:val="FooterChar0"/>
    <w:uiPriority w:val="99"/>
    <w:pPr>
      <w:spacing w:after="0"/>
      <w:ind w:right="-567"/>
      <w:jc w:val="left"/>
    </w:pPr>
    <w:rPr>
      <w:rFonts w:ascii="Arial" w:hAnsi="Arial"/>
      <w:sz w:val="16"/>
    </w:rPr>
  </w:style>
  <w:style w:type="character" w:customStyle="1" w:styleId="FooterChar0">
    <w:name w:val="Footer Char_0"/>
    <w:basedOn w:val="Policepardfaut"/>
    <w:link w:val="Footer0"/>
    <w:uiPriority w:val="99"/>
    <w:rsid w:val="00951854"/>
    <w:rPr>
      <w:rFonts w:ascii="Arial" w:hAnsi="Arial"/>
      <w:sz w:val="16"/>
      <w:lang w:eastAsia="en-US"/>
    </w:rPr>
  </w:style>
  <w:style w:type="paragraph" w:customStyle="1" w:styleId="Heading10">
    <w:name w:val="Heading 1_0"/>
    <w:basedOn w:val="Normal0"/>
    <w:next w:val="Text10"/>
    <w:link w:val="Heading1Char"/>
    <w:qFormat/>
    <w:rsid w:val="002416FE"/>
    <w:pPr>
      <w:keepNext/>
      <w:numPr>
        <w:numId w:val="33"/>
      </w:numPr>
      <w:spacing w:before="240"/>
      <w:outlineLvl w:val="0"/>
    </w:pPr>
    <w:rPr>
      <w:b/>
    </w:rPr>
  </w:style>
  <w:style w:type="paragraph" w:customStyle="1" w:styleId="Heading20">
    <w:name w:val="Heading 2_0"/>
    <w:basedOn w:val="Normal0"/>
    <w:next w:val="Text20"/>
    <w:qFormat/>
    <w:pPr>
      <w:keepNext/>
      <w:numPr>
        <w:ilvl w:val="1"/>
        <w:numId w:val="33"/>
      </w:numPr>
      <w:outlineLvl w:val="1"/>
    </w:pPr>
    <w:rPr>
      <w:b/>
    </w:rPr>
  </w:style>
  <w:style w:type="paragraph" w:customStyle="1" w:styleId="Text20">
    <w:name w:val="Text 2_0"/>
    <w:basedOn w:val="Normal0"/>
    <w:pPr>
      <w:tabs>
        <w:tab w:val="left" w:pos="2302"/>
      </w:tabs>
      <w:ind w:left="1202"/>
    </w:pPr>
  </w:style>
  <w:style w:type="paragraph" w:customStyle="1" w:styleId="Heading30">
    <w:name w:val="Heading 3_0"/>
    <w:basedOn w:val="Normal0"/>
    <w:next w:val="Text30"/>
    <w:qFormat/>
    <w:pPr>
      <w:keepNext/>
      <w:numPr>
        <w:ilvl w:val="2"/>
        <w:numId w:val="33"/>
      </w:numPr>
      <w:outlineLvl w:val="2"/>
    </w:pPr>
    <w:rPr>
      <w:i/>
    </w:rPr>
  </w:style>
  <w:style w:type="paragraph" w:customStyle="1" w:styleId="Text30">
    <w:name w:val="Text 3_0"/>
    <w:basedOn w:val="Normal0"/>
    <w:pPr>
      <w:tabs>
        <w:tab w:val="left" w:pos="2302"/>
      </w:tabs>
      <w:ind w:left="1202"/>
    </w:pPr>
  </w:style>
  <w:style w:type="paragraph" w:customStyle="1" w:styleId="Heading40">
    <w:name w:val="Heading 4_0"/>
    <w:basedOn w:val="Normal0"/>
    <w:next w:val="Text40"/>
    <w:qFormat/>
    <w:pPr>
      <w:keepNext/>
      <w:numPr>
        <w:ilvl w:val="3"/>
        <w:numId w:val="33"/>
      </w:numPr>
      <w:outlineLvl w:val="3"/>
    </w:pPr>
  </w:style>
  <w:style w:type="paragraph" w:customStyle="1" w:styleId="Text40">
    <w:name w:val="Text 4_0"/>
    <w:basedOn w:val="Normal0"/>
    <w:pPr>
      <w:tabs>
        <w:tab w:val="left" w:pos="2302"/>
      </w:tabs>
      <w:ind w:left="1202"/>
    </w:pPr>
  </w:style>
  <w:style w:type="paragraph" w:customStyle="1" w:styleId="Text10">
    <w:name w:val="Text 1_0"/>
    <w:basedOn w:val="Normal0"/>
    <w:pPr>
      <w:ind w:left="482"/>
    </w:pPr>
  </w:style>
  <w:style w:type="character" w:customStyle="1" w:styleId="Heading1Char">
    <w:name w:val="Heading 1 Char"/>
    <w:basedOn w:val="Policepardfaut"/>
    <w:link w:val="Heading10"/>
    <w:rsid w:val="00B941C9"/>
    <w:rPr>
      <w:b/>
      <w:sz w:val="24"/>
      <w:lang w:eastAsia="en-US"/>
    </w:rPr>
  </w:style>
  <w:style w:type="paragraph" w:customStyle="1" w:styleId="Subtitle0">
    <w:name w:val="Subtitle_0"/>
    <w:basedOn w:val="Normal0"/>
    <w:link w:val="SubtitleChar0"/>
    <w:qFormat/>
    <w:pPr>
      <w:spacing w:after="60"/>
      <w:jc w:val="center"/>
      <w:outlineLvl w:val="1"/>
    </w:pPr>
    <w:rPr>
      <w:rFonts w:ascii="Arial" w:hAnsi="Arial"/>
    </w:rPr>
  </w:style>
  <w:style w:type="character" w:customStyle="1" w:styleId="SubtitleChar0">
    <w:name w:val="Subtitle Char_0"/>
    <w:basedOn w:val="Policepardfaut"/>
    <w:link w:val="Subtitle0"/>
    <w:rsid w:val="00D81A2D"/>
    <w:rPr>
      <w:rFonts w:ascii="Arial" w:hAnsi="Arial"/>
      <w:sz w:val="24"/>
      <w:lang w:eastAsia="en-US"/>
    </w:rPr>
  </w:style>
  <w:style w:type="paragraph" w:customStyle="1" w:styleId="Header1">
    <w:name w:val="Header_1"/>
    <w:basedOn w:val="Normal1"/>
    <w:link w:val="HeaderChar1"/>
    <w:uiPriority w:val="99"/>
    <w:pPr>
      <w:tabs>
        <w:tab w:val="center" w:pos="4153"/>
        <w:tab w:val="right" w:pos="8306"/>
      </w:tabs>
    </w:pPr>
  </w:style>
  <w:style w:type="paragraph" w:customStyle="1" w:styleId="Normal1">
    <w:name w:val="Normal_1"/>
    <w:qFormat/>
    <w:pPr>
      <w:spacing w:after="240"/>
      <w:jc w:val="both"/>
    </w:pPr>
    <w:rPr>
      <w:sz w:val="24"/>
      <w:lang w:eastAsia="en-US"/>
    </w:rPr>
  </w:style>
  <w:style w:type="character" w:customStyle="1" w:styleId="HeaderChar1">
    <w:name w:val="Header Char_1"/>
    <w:basedOn w:val="Policepardfaut"/>
    <w:link w:val="Header1"/>
    <w:uiPriority w:val="99"/>
    <w:rsid w:val="00951854"/>
    <w:rPr>
      <w:sz w:val="24"/>
      <w:lang w:eastAsia="en-US"/>
    </w:rPr>
  </w:style>
  <w:style w:type="paragraph" w:customStyle="1" w:styleId="Footer1">
    <w:name w:val="Footer_1"/>
    <w:basedOn w:val="Normal1"/>
    <w:link w:val="FooterChar1"/>
    <w:uiPriority w:val="99"/>
    <w:pPr>
      <w:spacing w:after="0"/>
      <w:ind w:right="-567"/>
      <w:jc w:val="left"/>
    </w:pPr>
    <w:rPr>
      <w:rFonts w:ascii="Arial" w:hAnsi="Arial"/>
      <w:sz w:val="16"/>
    </w:rPr>
  </w:style>
  <w:style w:type="character" w:customStyle="1" w:styleId="FooterChar1">
    <w:name w:val="Footer Char_1"/>
    <w:basedOn w:val="Policepardfaut"/>
    <w:link w:val="Footer1"/>
    <w:uiPriority w:val="99"/>
    <w:rsid w:val="00951854"/>
    <w:rPr>
      <w:rFonts w:ascii="Arial" w:hAnsi="Arial"/>
      <w:sz w:val="16"/>
      <w:lang w:eastAsia="en-US"/>
    </w:rPr>
  </w:style>
  <w:style w:type="paragraph" w:customStyle="1" w:styleId="Heading11">
    <w:name w:val="Heading 1_1"/>
    <w:basedOn w:val="Normal1"/>
    <w:next w:val="Text11"/>
    <w:qFormat/>
    <w:rsid w:val="002416FE"/>
    <w:pPr>
      <w:keepNext/>
      <w:numPr>
        <w:numId w:val="34"/>
      </w:numPr>
      <w:spacing w:before="240"/>
      <w:outlineLvl w:val="0"/>
    </w:pPr>
    <w:rPr>
      <w:b/>
    </w:rPr>
  </w:style>
  <w:style w:type="paragraph" w:customStyle="1" w:styleId="Heading21">
    <w:name w:val="Heading 2_1"/>
    <w:basedOn w:val="Normal1"/>
    <w:next w:val="Text21"/>
    <w:qFormat/>
    <w:pPr>
      <w:keepNext/>
      <w:numPr>
        <w:ilvl w:val="1"/>
        <w:numId w:val="34"/>
      </w:numPr>
      <w:outlineLvl w:val="1"/>
    </w:pPr>
    <w:rPr>
      <w:b/>
    </w:rPr>
  </w:style>
  <w:style w:type="paragraph" w:customStyle="1" w:styleId="Text21">
    <w:name w:val="Text 2_1"/>
    <w:basedOn w:val="Normal1"/>
    <w:pPr>
      <w:tabs>
        <w:tab w:val="left" w:pos="2302"/>
      </w:tabs>
      <w:ind w:left="1202"/>
    </w:pPr>
  </w:style>
  <w:style w:type="paragraph" w:customStyle="1" w:styleId="Heading31">
    <w:name w:val="Heading 3_1"/>
    <w:basedOn w:val="Normal1"/>
    <w:next w:val="Text31"/>
    <w:qFormat/>
    <w:pPr>
      <w:keepNext/>
      <w:numPr>
        <w:ilvl w:val="2"/>
        <w:numId w:val="34"/>
      </w:numPr>
      <w:outlineLvl w:val="2"/>
    </w:pPr>
    <w:rPr>
      <w:i/>
    </w:rPr>
  </w:style>
  <w:style w:type="paragraph" w:customStyle="1" w:styleId="Text31">
    <w:name w:val="Text 3_1"/>
    <w:basedOn w:val="Normal1"/>
    <w:pPr>
      <w:tabs>
        <w:tab w:val="left" w:pos="2302"/>
      </w:tabs>
      <w:ind w:left="1202"/>
    </w:pPr>
  </w:style>
  <w:style w:type="paragraph" w:customStyle="1" w:styleId="Heading41">
    <w:name w:val="Heading 4_1"/>
    <w:basedOn w:val="Normal1"/>
    <w:next w:val="Text41"/>
    <w:qFormat/>
    <w:pPr>
      <w:keepNext/>
      <w:numPr>
        <w:ilvl w:val="3"/>
        <w:numId w:val="34"/>
      </w:numPr>
      <w:outlineLvl w:val="3"/>
    </w:pPr>
  </w:style>
  <w:style w:type="paragraph" w:customStyle="1" w:styleId="Text41">
    <w:name w:val="Text 4_1"/>
    <w:basedOn w:val="Normal1"/>
    <w:pPr>
      <w:tabs>
        <w:tab w:val="left" w:pos="2302"/>
      </w:tabs>
      <w:ind w:left="1202"/>
    </w:pPr>
  </w:style>
  <w:style w:type="paragraph" w:customStyle="1" w:styleId="Text11">
    <w:name w:val="Text 1_1"/>
    <w:basedOn w:val="Normal1"/>
    <w:pPr>
      <w:ind w:left="482"/>
    </w:pPr>
  </w:style>
  <w:style w:type="paragraph" w:customStyle="1" w:styleId="Subtitle10">
    <w:name w:val="Subtitle_1"/>
    <w:basedOn w:val="Normal1"/>
    <w:link w:val="SubtitleChar1"/>
    <w:qFormat/>
    <w:pPr>
      <w:spacing w:after="60"/>
      <w:jc w:val="center"/>
      <w:outlineLvl w:val="1"/>
    </w:pPr>
    <w:rPr>
      <w:rFonts w:ascii="Arial" w:hAnsi="Arial"/>
    </w:rPr>
  </w:style>
  <w:style w:type="character" w:customStyle="1" w:styleId="SubtitleChar1">
    <w:name w:val="Subtitle Char_1"/>
    <w:basedOn w:val="Policepardfaut"/>
    <w:link w:val="Subtitle10"/>
    <w:rsid w:val="00D81A2D"/>
    <w:rPr>
      <w:rFonts w:ascii="Arial" w:hAnsi="Arial"/>
      <w:sz w:val="24"/>
      <w:lang w:eastAsia="en-US"/>
    </w:rPr>
  </w:style>
  <w:style w:type="table" w:customStyle="1" w:styleId="TableGrid0">
    <w:name w:val="Table Grid_0"/>
    <w:basedOn w:val="TableauNormal"/>
    <w:uiPriority w:val="59"/>
    <w:rsid w:val="00FB4123"/>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2.xml"/><Relationship Id="rId18" Type="http://schemas.openxmlformats.org/officeDocument/2006/relationships/header" Target="header5.xml"/><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webSettings" Target="webSettings.xml"/><Relationship Id="rId12" Type="http://schemas.openxmlformats.org/officeDocument/2006/relationships/footer" Target="footer1.xml"/><Relationship Id="rId17" Type="http://schemas.openxmlformats.org/officeDocument/2006/relationships/footer" Target="footer4.xml"/><Relationship Id="rId2" Type="http://schemas.openxmlformats.org/officeDocument/2006/relationships/customXml" Target="../customXml/item2.xml"/><Relationship Id="rId16" Type="http://schemas.openxmlformats.org/officeDocument/2006/relationships/header" Target="header4.xm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2.xml"/><Relationship Id="rId5" Type="http://schemas.openxmlformats.org/officeDocument/2006/relationships/styles" Target="styles.xml"/><Relationship Id="rId15" Type="http://schemas.openxmlformats.org/officeDocument/2006/relationships/footer" Target="footer3.xml"/><Relationship Id="rId10" Type="http://schemas.openxmlformats.org/officeDocument/2006/relationships/header" Target="header1.xml"/><Relationship Id="rId19" Type="http://schemas.openxmlformats.org/officeDocument/2006/relationships/footer" Target="footer5.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eader" Target="head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3EFDF4A2522CFC409C6F89DF651223F2" ma:contentTypeVersion="20" ma:contentTypeDescription="Create a new document." ma:contentTypeScope="" ma:versionID="70fe47504bb7b2dcd83f4e52e8dab0d1">
  <xsd:schema xmlns:xsd="http://www.w3.org/2001/XMLSchema" xmlns:xs="http://www.w3.org/2001/XMLSchema" xmlns:p="http://schemas.microsoft.com/office/2006/metadata/properties" xmlns:ns2="204af3c4-d34c-49ca-a823-665a73d20e88" xmlns:ns3="53dbb298-43e7-49ac-b54d-014137d019a1" targetNamespace="http://schemas.microsoft.com/office/2006/metadata/properties" ma:root="true" ma:fieldsID="9bae135aa39aa3fe4e3f9d102e37cdd3" ns2:_="" ns3:_="">
    <xsd:import namespace="204af3c4-d34c-49ca-a823-665a73d20e88"/>
    <xsd:import namespace="53dbb298-43e7-49ac-b54d-014137d019a1"/>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OCR" minOccurs="0"/>
                <xsd:element ref="ns2:MediaServiceGenerationTime" minOccurs="0"/>
                <xsd:element ref="ns2:MediaServiceEventHashCode" minOccurs="0"/>
                <xsd:element ref="ns2:MediaLengthInSeconds" minOccurs="0"/>
                <xsd:element ref="ns3:SharedWithUsers" minOccurs="0"/>
                <xsd:element ref="ns3:SharedWithDetails" minOccurs="0"/>
                <xsd:element ref="ns2:lcf76f155ced4ddcb4097134ff3c332f" minOccurs="0"/>
                <xsd:element ref="ns3:TaxCatchAll" minOccurs="0"/>
                <xsd:element ref="ns2:MediaServiceObjectDetectorVersions" minOccurs="0"/>
                <xsd:element ref="ns2:Category" minOccurs="0"/>
                <xsd:element ref="ns2:MediaServiceSearchProperties" minOccurs="0"/>
                <xsd:element ref="ns2:Documenttype" minOccurs="0"/>
                <xsd:element ref="ns2:Applicationtype" minOccurs="0"/>
                <xsd:element ref="ns2:Comments" minOccurs="0"/>
                <xsd:element ref="ns2:Responsibl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04af3c4-d34c-49ca-a823-665a73d20e8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OCR" ma:index="12" nillable="true" ma:displayName="Extracted Text" ma:internalName="MediaServiceOCR" ma:readOnly="true">
      <xsd:simpleType>
        <xsd:restriction base="dms:Note">
          <xsd:maxLength value="255"/>
        </xsd:restriction>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LengthInSeconds" ma:index="15" nillable="true" ma:displayName="MediaLengthInSeconds" ma:hidden="true" ma:internalName="MediaLengthInSeconds" ma:readOnly="true">
      <xsd:simpleType>
        <xsd:restriction base="dms:Unknown"/>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22b2fad6-9d2c-441c-a321-3f5f1e9bd928"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1" nillable="true" ma:displayName="MediaServiceObjectDetectorVersions" ma:hidden="true" ma:indexed="true" ma:internalName="MediaServiceObjectDetectorVersions" ma:readOnly="true">
      <xsd:simpleType>
        <xsd:restriction base="dms:Text"/>
      </xsd:simpleType>
    </xsd:element>
    <xsd:element name="Category" ma:index="22" nillable="true" ma:displayName="Domain" ma:format="Dropdown" ma:internalName="Category">
      <xsd:complexType>
        <xsd:complexContent>
          <xsd:extension base="dms:MultiChoice">
            <xsd:sequence>
              <xsd:element name="Value" maxOccurs="unbounded" minOccurs="0" nillable="true">
                <xsd:simpleType>
                  <xsd:restriction base="dms:Choice">
                    <xsd:enumeration value="Food"/>
                    <xsd:enumeration value="Wine"/>
                    <xsd:enumeration value="Spirit"/>
                    <xsd:enumeration value="TSG"/>
                    <xsd:enumeration value="ALL"/>
                  </xsd:restriction>
                </xsd:simpleType>
              </xsd:element>
            </xsd:sequence>
          </xsd:extension>
        </xsd:complexContent>
      </xsd:complexType>
    </xsd:element>
    <xsd:element name="MediaServiceSearchProperties" ma:index="23" nillable="true" ma:displayName="MediaServiceSearchProperties" ma:hidden="true" ma:internalName="MediaServiceSearchProperties" ma:readOnly="true">
      <xsd:simpleType>
        <xsd:restriction base="dms:Note"/>
      </xsd:simpleType>
    </xsd:element>
    <xsd:element name="Documenttype" ma:index="24" nillable="true" ma:displayName="Document type" ma:format="Dropdown" ma:internalName="Documenttype">
      <xsd:simpleType>
        <xsd:restriction base="dms:Choice">
          <xsd:enumeration value="Additional Info"/>
          <xsd:enumeration value="Single Document"/>
          <xsd:enumeration value="Justification"/>
          <xsd:enumeration value="Unspecified"/>
          <xsd:enumeration value="Cover"/>
          <xsd:enumeration value="Declaration"/>
        </xsd:restriction>
      </xsd:simpleType>
    </xsd:element>
    <xsd:element name="Applicationtype" ma:index="25" nillable="true" ma:displayName="Application type" ma:format="Dropdown" ma:internalName="Applicationtype">
      <xsd:complexType>
        <xsd:complexContent>
          <xsd:extension base="dms:MultiChoice">
            <xsd:sequence>
              <xsd:element name="Value" maxOccurs="unbounded" minOccurs="0" nillable="true">
                <xsd:simpleType>
                  <xsd:restriction base="dms:Choice">
                    <xsd:enumeration value="REG"/>
                    <xsd:enumeration value="STD AMD Mod"/>
                    <xsd:enumeration value="STD AMD Not Mod"/>
                    <xsd:enumeration value="TEMP AMD"/>
                    <xsd:enumeration value="UNION AMD"/>
                    <xsd:enumeration value="AMD"/>
                    <xsd:enumeration value="ALL"/>
                    <xsd:enumeration value="BOTH STD AMD"/>
                  </xsd:restriction>
                </xsd:simpleType>
              </xsd:element>
            </xsd:sequence>
          </xsd:extension>
        </xsd:complexContent>
      </xsd:complexType>
    </xsd:element>
    <xsd:element name="Comments" ma:index="26" nillable="true" ma:displayName="Comments" ma:format="Dropdown" ma:internalName="Comments">
      <xsd:simpleType>
        <xsd:restriction base="dms:Text">
          <xsd:maxLength value="255"/>
        </xsd:restriction>
      </xsd:simpleType>
    </xsd:element>
    <xsd:element name="Responsible" ma:index="27" nillable="true" ma:displayName="Responsible" ma:format="Dropdown" ma:list="UserInfo" ma:SharePointGroup="0" ma:internalName="Responsible">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53dbb298-43e7-49ac-b54d-014137d019a1"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TaxCatchAll" ma:index="20" nillable="true" ma:displayName="Taxonomy Catch All Column" ma:hidden="true" ma:list="{41046ae7-ff01-4636-817d-225bfcbcfef0}" ma:internalName="TaxCatchAll" ma:showField="CatchAllData" ma:web="53dbb298-43e7-49ac-b54d-014137d019a1">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Comments xmlns="204af3c4-d34c-49ca-a823-665a73d20e88">Final</Comments>
    <TaxCatchAll xmlns="53dbb298-43e7-49ac-b54d-014137d019a1" xsi:nil="true"/>
    <Applicationtype xmlns="204af3c4-d34c-49ca-a823-665a73d20e88">
      <Value>STD AMD Not Mod</Value>
      <Value>STD AMD Mod</Value>
    </Applicationtype>
    <Category xmlns="204af3c4-d34c-49ca-a823-665a73d20e88">
      <Value>Food</Value>
      <Value>Spirit</Value>
      <Value>Wine</Value>
    </Category>
    <lcf76f155ced4ddcb4097134ff3c332f xmlns="204af3c4-d34c-49ca-a823-665a73d20e88">
      <Terms xmlns="http://schemas.microsoft.com/office/infopath/2007/PartnerControls">
        <TermInfo xmlns="http://schemas.microsoft.com/office/infopath/2007/PartnerControls">
          <TermName xmlns="http://schemas.microsoft.com/office/infopath/2007/PartnerControls"/>
          <TermId xmlns="http://schemas.microsoft.com/office/infopath/2007/PartnerControls"/>
        </TermInfo>
      </Terms>
    </lcf76f155ced4ddcb4097134ff3c332f>
    <Documenttype xmlns="204af3c4-d34c-49ca-a823-665a73d20e88">Cover</Documenttype>
    <Responsible xmlns="204af3c4-d34c-49ca-a823-665a73d20e88">
      <UserInfo>
        <DisplayName>PISARSKI Sebastian (AGRI)</DisplayName>
        <AccountId>24</AccountId>
        <AccountType/>
      </UserInfo>
    </Responsible>
  </documentManagement>
</p:properties>
</file>

<file path=customXml/itemProps1.xml><?xml version="1.0" encoding="utf-8"?>
<ds:datastoreItem xmlns:ds="http://schemas.openxmlformats.org/officeDocument/2006/customXml" ds:itemID="{83EDA765-4876-4D4A-837A-4E16C4649692}">
  <ds:schemaRefs>
    <ds:schemaRef ds:uri="http://schemas.microsoft.com/sharepoint/v3/contenttype/forms"/>
  </ds:schemaRefs>
</ds:datastoreItem>
</file>

<file path=customXml/itemProps2.xml><?xml version="1.0" encoding="utf-8"?>
<ds:datastoreItem xmlns:ds="http://schemas.openxmlformats.org/officeDocument/2006/customXml" ds:itemID="{E6EB4972-7705-4997-BDB7-5B954519600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04af3c4-d34c-49ca-a823-665a73d20e88"/>
    <ds:schemaRef ds:uri="53dbb298-43e7-49ac-b54d-014137d019a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B8A8E86D-CB63-4AAB-8D9F-3044854CA96C}">
  <ds:schemaRefs>
    <ds:schemaRef ds:uri="http://purl.org/dc/elements/1.1/"/>
    <ds:schemaRef ds:uri="http://schemas.microsoft.com/office/2006/metadata/properties"/>
    <ds:schemaRef ds:uri="53dbb298-43e7-49ac-b54d-014137d019a1"/>
    <ds:schemaRef ds:uri="http://purl.org/dc/terms/"/>
    <ds:schemaRef ds:uri="http://schemas.openxmlformats.org/package/2006/metadata/core-properties"/>
    <ds:schemaRef ds:uri="http://schemas.microsoft.com/office/2006/documentManagement/types"/>
    <ds:schemaRef ds:uri="http://schemas.microsoft.com/office/infopath/2007/PartnerControls"/>
    <ds:schemaRef ds:uri="204af3c4-d34c-49ca-a823-665a73d20e88"/>
    <ds:schemaRef ds:uri="http://www.w3.org/XML/1998/namespace"/>
    <ds:schemaRef ds:uri="http://purl.org/dc/dcmitype/"/>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7</Pages>
  <Words>1884</Words>
  <Characters>10994</Characters>
  <Application>Microsoft Office Word</Application>
  <DocSecurity>0</DocSecurity>
  <Lines>91</Lines>
  <Paragraphs>25</Paragraphs>
  <ScaleCrop>false</ScaleCrop>
  <HeadingPairs>
    <vt:vector size="2" baseType="variant">
      <vt:variant>
        <vt:lpstr>Titre</vt:lpstr>
      </vt:variant>
      <vt:variant>
        <vt:i4>1</vt:i4>
      </vt:variant>
    </vt:vector>
  </HeadingPairs>
  <TitlesOfParts>
    <vt:vector size="1" baseType="lpstr">
      <vt:lpstr/>
    </vt:vector>
  </TitlesOfParts>
  <Company>European Commission</Company>
  <LinksUpToDate>false</LinksUpToDate>
  <CharactersWithSpaces>12853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Mustapha ROBIO</dc:creator>
  <cp:keywords>EL4</cp:keywords>
  <cp:lastModifiedBy>OGNOV Alexandra</cp:lastModifiedBy>
  <cp:revision>3</cp:revision>
  <dcterms:created xsi:type="dcterms:W3CDTF">2026-05-12T09:21:00Z</dcterms:created>
  <dcterms:modified xsi:type="dcterms:W3CDTF">2026-05-12T09:22:00Z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0x0101003EFDF4A2522CFC409C6F89DF651223F2</vt:lpwstr>
  </property>
  <property fmtid="{D5CDD505-2E9C-101B-9397-08002B2CF9AE}" pid="3" name="Created using">
    <vt:lpwstr>EL 4.6 Build 50000</vt:lpwstr>
  </property>
  <property fmtid="{D5CDD505-2E9C-101B-9397-08002B2CF9AE}" pid="4" name="DocID_EU">
    <vt:lpwstr> </vt:lpwstr>
  </property>
  <property fmtid="{D5CDD505-2E9C-101B-9397-08002B2CF9AE}" pid="5" name="ELDocType">
    <vt:lpwstr>rep.dot</vt:lpwstr>
  </property>
  <property fmtid="{D5CDD505-2E9C-101B-9397-08002B2CF9AE}" pid="6" name="EL_Author">
    <vt:lpwstr>Mustapha ROBIO</vt:lpwstr>
  </property>
  <property fmtid="{D5CDD505-2E9C-101B-9397-08002B2CF9AE}" pid="7" name="EL_Language">
    <vt:lpwstr>EN</vt:lpwstr>
  </property>
  <property fmtid="{D5CDD505-2E9C-101B-9397-08002B2CF9AE}" pid="8" name="EurolookVersion">
    <vt:lpwstr>4.6</vt:lpwstr>
  </property>
  <property fmtid="{D5CDD505-2E9C-101B-9397-08002B2CF9AE}" pid="9" name="Formatting">
    <vt:lpwstr>4.1</vt:lpwstr>
  </property>
  <property fmtid="{D5CDD505-2E9C-101B-9397-08002B2CF9AE}" pid="10" name="Language">
    <vt:lpwstr>EN</vt:lpwstr>
  </property>
  <property fmtid="{D5CDD505-2E9C-101B-9397-08002B2CF9AE}" pid="11" name="Last edited using">
    <vt:lpwstr>EL 4.6 Build 50000</vt:lpwstr>
  </property>
  <property fmtid="{D5CDD505-2E9C-101B-9397-08002B2CF9AE}" pid="12" name="MediaServiceImageTags">
    <vt:lpwstr/>
  </property>
  <property fmtid="{D5CDD505-2E9C-101B-9397-08002B2CF9AE}" pid="13" name="MSIP_Label_6bd9ddd1-4d20-43f6-abfa-fc3c07406f94_ActionId">
    <vt:lpwstr>a5baae33-3d0a-4e67-be57-f093e3943c6f</vt:lpwstr>
  </property>
  <property fmtid="{D5CDD505-2E9C-101B-9397-08002B2CF9AE}" pid="14" name="MSIP_Label_6bd9ddd1-4d20-43f6-abfa-fc3c07406f94_ContentBits">
    <vt:lpwstr>0</vt:lpwstr>
  </property>
  <property fmtid="{D5CDD505-2E9C-101B-9397-08002B2CF9AE}" pid="15" name="MSIP_Label_6bd9ddd1-4d20-43f6-abfa-fc3c07406f94_Enabled">
    <vt:lpwstr>true</vt:lpwstr>
  </property>
  <property fmtid="{D5CDD505-2E9C-101B-9397-08002B2CF9AE}" pid="16" name="MSIP_Label_6bd9ddd1-4d20-43f6-abfa-fc3c07406f94_Method">
    <vt:lpwstr>Standard</vt:lpwstr>
  </property>
  <property fmtid="{D5CDD505-2E9C-101B-9397-08002B2CF9AE}" pid="17" name="MSIP_Label_6bd9ddd1-4d20-43f6-abfa-fc3c07406f94_Name">
    <vt:lpwstr>Commission Use</vt:lpwstr>
  </property>
  <property fmtid="{D5CDD505-2E9C-101B-9397-08002B2CF9AE}" pid="18" name="MSIP_Label_6bd9ddd1-4d20-43f6-abfa-fc3c07406f94_SetDate">
    <vt:lpwstr>2023-10-30T08:14:25Z</vt:lpwstr>
  </property>
  <property fmtid="{D5CDD505-2E9C-101B-9397-08002B2CF9AE}" pid="19" name="MSIP_Label_6bd9ddd1-4d20-43f6-abfa-fc3c07406f94_SiteId">
    <vt:lpwstr>b24c8b06-522c-46fe-9080-70926f8dddb1</vt:lpwstr>
  </property>
  <property fmtid="{D5CDD505-2E9C-101B-9397-08002B2CF9AE}" pid="20" name="TemplateVersion">
    <vt:lpwstr>4.6.5.0000</vt:lpwstr>
  </property>
  <property fmtid="{D5CDD505-2E9C-101B-9397-08002B2CF9AE}" pid="21" name="Type">
    <vt:lpwstr>Eurolook Report</vt:lpwstr>
  </property>
</Properties>
</file>