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81A2D" w:rsidRPr="00D81A2D" w:rsidRDefault="004B07C3" w:rsidP="3E822945">
      <w:pPr>
        <w:pStyle w:val="Heading11"/>
        <w:numPr>
          <w:ilvl w:val="0"/>
          <w:numId w:val="0"/>
        </w:numPr>
        <w:jc w:val="center"/>
        <w:rPr>
          <w:bCs/>
          <w:sz w:val="28"/>
          <w:szCs w:val="28"/>
        </w:rPr>
      </w:pPr>
      <w:bookmarkStart w:id="0" w:name="_GoBack"/>
      <w:bookmarkEnd w:id="0"/>
      <w:r w:rsidRPr="3E822945">
        <w:rPr>
          <w:sz w:val="28"/>
          <w:szCs w:val="28"/>
          <w:lang w:val="en-IE"/>
        </w:rPr>
        <w:t>DOCUMENT UNIQUE</w:t>
      </w:r>
    </w:p>
    <w:p w:rsidR="00D81A2D" w:rsidRPr="00D81A2D" w:rsidRDefault="004B07C3" w:rsidP="3E822945">
      <w:pPr>
        <w:pStyle w:val="Heading11"/>
        <w:numPr>
          <w:ilvl w:val="0"/>
          <w:numId w:val="0"/>
        </w:numPr>
        <w:jc w:val="center"/>
        <w:rPr>
          <w:bCs/>
          <w:szCs w:val="24"/>
        </w:rPr>
      </w:pPr>
      <w:r w:rsidRPr="3E822945">
        <w:t xml:space="preserve">Appellations d’origine </w:t>
      </w:r>
      <w:proofErr w:type="gramStart"/>
      <w:r w:rsidRPr="3E822945">
        <w:t>et</w:t>
      </w:r>
      <w:proofErr w:type="gramEnd"/>
      <w:r w:rsidRPr="3E822945">
        <w:t xml:space="preserve"> indications géographiques pour les produits agricoles</w:t>
      </w:r>
    </w:p>
    <w:p w:rsidR="00D81A2D" w:rsidRPr="00D81A2D" w:rsidRDefault="004B07C3" w:rsidP="2840FFB6">
      <w:pPr>
        <w:pStyle w:val="Normal1"/>
        <w:spacing w:before="120" w:after="120"/>
        <w:jc w:val="center"/>
        <w:rPr>
          <w:szCs w:val="24"/>
          <w:lang w:val="fr-BE"/>
        </w:rPr>
      </w:pPr>
    </w:p>
    <w:p w:rsidR="00D81A2D" w:rsidRDefault="004B07C3" w:rsidP="54167FA5">
      <w:pPr>
        <w:pStyle w:val="Subtitle10"/>
        <w:rPr>
          <w:rFonts w:ascii="Times New Roman" w:hAnsi="Times New Roman"/>
          <w:color w:val="000000"/>
          <w:szCs w:val="24"/>
          <w:lang w:val="fr-BE"/>
        </w:rPr>
      </w:pPr>
      <w:r w:rsidRPr="00140248">
        <w:rPr>
          <w:rFonts w:ascii="Times New Roman" w:hAnsi="Times New Roman"/>
          <w:color w:val="000000"/>
          <w:szCs w:val="24"/>
          <w:lang w:val="fr-BE"/>
        </w:rPr>
        <w:t>‘Jambon de Bayonne’</w:t>
      </w:r>
    </w:p>
    <w:p w:rsidR="007404D7" w:rsidRPr="007404D7" w:rsidRDefault="004B07C3" w:rsidP="007404D7">
      <w:pPr>
        <w:pStyle w:val="Subtitle10"/>
        <w:rPr>
          <w:rFonts w:ascii="Times New Roman" w:hAnsi="Times New Roman"/>
          <w:color w:val="000000"/>
          <w:szCs w:val="24"/>
          <w:lang w:val="fr-BE"/>
        </w:rPr>
      </w:pPr>
      <w:r w:rsidRPr="007404D7">
        <w:rPr>
          <w:rFonts w:ascii="Times New Roman" w:hAnsi="Times New Roman"/>
          <w:color w:val="000000"/>
          <w:szCs w:val="24"/>
          <w:lang w:val="fr-BE"/>
        </w:rPr>
        <w:t xml:space="preserve">Numéro de </w:t>
      </w:r>
      <w:r w:rsidRPr="007404D7">
        <w:rPr>
          <w:rFonts w:ascii="Times New Roman" w:hAnsi="Times New Roman"/>
          <w:color w:val="000000"/>
          <w:szCs w:val="24"/>
          <w:lang w:val="fr-BE"/>
        </w:rPr>
        <w:t>référence UE: DRAFT-PGI-FR-0031-AMD-STD_MSD - -</w:t>
      </w:r>
    </w:p>
    <w:p w:rsidR="0097257E" w:rsidRPr="0097257E" w:rsidRDefault="004B07C3" w:rsidP="0097257E">
      <w:pPr>
        <w:pStyle w:val="Subtitle10"/>
        <w:rPr>
          <w:rFonts w:ascii="Times New Roman" w:hAnsi="Times New Roman"/>
          <w:color w:val="000000"/>
          <w:szCs w:val="24"/>
          <w:lang w:val="fr-BE"/>
        </w:rPr>
      </w:pPr>
    </w:p>
    <w:p w:rsidR="00472529" w:rsidRPr="00DE5C42" w:rsidRDefault="004B07C3" w:rsidP="54167FA5">
      <w:pPr>
        <w:pStyle w:val="Subtitle10"/>
        <w:rPr>
          <w:rFonts w:ascii="Times New Roman" w:hAnsi="Times New Roman"/>
          <w:color w:val="000000"/>
          <w:szCs w:val="24"/>
          <w:highlight w:val="yellow"/>
          <w:lang w:val="fr-BE"/>
        </w:rPr>
      </w:pPr>
    </w:p>
    <w:p w:rsidR="00472529" w:rsidRPr="0097257E" w:rsidRDefault="004B07C3" w:rsidP="12178343">
      <w:pPr>
        <w:pStyle w:val="Heading11"/>
        <w:ind w:left="450" w:hanging="450"/>
        <w:jc w:val="left"/>
        <w:rPr>
          <w:lang w:val="fr-BE"/>
        </w:rPr>
      </w:pPr>
      <w:r w:rsidRPr="12178343">
        <w:rPr>
          <w:lang w:val="fr-BE"/>
        </w:rPr>
        <w:t>Dénomination(s)</w:t>
      </w:r>
    </w:p>
    <w:p w:rsidR="42C16D6A" w:rsidRPr="005652C9" w:rsidRDefault="004B07C3" w:rsidP="12178343">
      <w:pPr>
        <w:pStyle w:val="Normal1"/>
        <w:ind w:left="450"/>
        <w:jc w:val="left"/>
        <w:rPr>
          <w:lang w:val="fr-BE"/>
        </w:rPr>
      </w:pPr>
      <w:r w:rsidRPr="005652C9">
        <w:rPr>
          <w:szCs w:val="24"/>
          <w:lang w:val="fr-BE"/>
        </w:rPr>
        <w:t>‘</w:t>
      </w:r>
      <w:r w:rsidRPr="005652C9">
        <w:rPr>
          <w:lang w:val="fr-BE"/>
        </w:rPr>
        <w:t>Jambon de Bayonne</w:t>
      </w:r>
      <w:r w:rsidRPr="005652C9">
        <w:rPr>
          <w:lang w:val="fr-BE"/>
        </w:rPr>
        <w:t>’</w:t>
      </w:r>
    </w:p>
    <w:p w:rsidR="00814485" w:rsidRPr="00132807" w:rsidRDefault="004B07C3" w:rsidP="12178343">
      <w:pPr>
        <w:pStyle w:val="Heading11"/>
        <w:ind w:left="450" w:hanging="450"/>
        <w:jc w:val="left"/>
      </w:pPr>
      <w:r>
        <w:t>Type d’indication géographique</w:t>
      </w:r>
    </w:p>
    <w:p w:rsidR="00814485" w:rsidRPr="00132807" w:rsidRDefault="004B07C3" w:rsidP="12178343">
      <w:pPr>
        <w:pStyle w:val="Normal1"/>
        <w:ind w:left="450"/>
        <w:jc w:val="left"/>
        <w:rPr>
          <w:color w:val="000000"/>
        </w:rPr>
      </w:pPr>
      <w:r>
        <w:t>☐</w:t>
      </w:r>
      <w:r>
        <w:t xml:space="preserve"> </w:t>
      </w:r>
      <w:r>
        <w:t>AOP</w:t>
      </w:r>
    </w:p>
    <w:p w:rsidR="00814485" w:rsidRPr="00132807" w:rsidRDefault="004B07C3" w:rsidP="12178343">
      <w:pPr>
        <w:pStyle w:val="Normal1"/>
        <w:ind w:left="450"/>
        <w:jc w:val="left"/>
        <w:rPr>
          <w:color w:val="000000"/>
        </w:rPr>
      </w:pPr>
      <w:r>
        <w:t>☑</w:t>
      </w:r>
      <w:r>
        <w:t xml:space="preserve"> </w:t>
      </w:r>
      <w:r>
        <w:t>IGP</w:t>
      </w:r>
    </w:p>
    <w:p w:rsidR="00814485" w:rsidRPr="00132807" w:rsidRDefault="004B07C3" w:rsidP="12178343">
      <w:pPr>
        <w:pStyle w:val="Normal1"/>
        <w:ind w:left="450"/>
        <w:jc w:val="left"/>
      </w:pPr>
      <w:r>
        <w:t>☐</w:t>
      </w:r>
      <w:r>
        <w:t xml:space="preserve"> </w:t>
      </w:r>
      <w:r>
        <w:t>IG</w:t>
      </w:r>
    </w:p>
    <w:p w:rsidR="00472529" w:rsidRPr="00132807" w:rsidRDefault="004B07C3" w:rsidP="3DFDAB3A">
      <w:pPr>
        <w:pStyle w:val="Heading11"/>
        <w:ind w:left="450" w:hanging="450"/>
        <w:jc w:val="left"/>
      </w:pPr>
      <w:r>
        <w:t>Pays dont fait partie l’aire géographique délimitée</w:t>
      </w:r>
    </w:p>
    <w:p w:rsidR="74F65803" w:rsidRDefault="004B07C3" w:rsidP="3DFDAB3A">
      <w:pPr>
        <w:pStyle w:val="Normal1"/>
        <w:ind w:left="450"/>
        <w:jc w:val="left"/>
      </w:pPr>
      <w:r>
        <w:t>France</w:t>
      </w:r>
    </w:p>
    <w:p w:rsidR="0097257E" w:rsidRDefault="004B07C3" w:rsidP="3DFDAB3A">
      <w:pPr>
        <w:pStyle w:val="Heading11"/>
        <w:ind w:left="450" w:hanging="450"/>
        <w:jc w:val="left"/>
      </w:pPr>
      <w:r>
        <w:t>Description du produit agricole</w:t>
      </w:r>
    </w:p>
    <w:p w:rsidR="28B8620F" w:rsidRDefault="004B07C3" w:rsidP="3DFDAB3A">
      <w:pPr>
        <w:pStyle w:val="Heading21"/>
        <w:ind w:left="1080" w:hanging="630"/>
        <w:jc w:val="left"/>
      </w:pPr>
      <w:r>
        <w:t xml:space="preserve">Classement du produit agricole </w:t>
      </w:r>
      <w:r>
        <w:t>conformément à la position et au code de la nomenclature combinée, visé à l’article 6, paragraphe 1, du règlement (UE) 2024/1143</w:t>
      </w:r>
    </w:p>
    <w:p w:rsidR="4E6DC23D" w:rsidRDefault="004B07C3" w:rsidP="3DFDAB3A">
      <w:pPr>
        <w:pStyle w:val="Normal1"/>
        <w:ind w:left="1080"/>
        <w:jc w:val="left"/>
      </w:pPr>
      <w:r>
        <w:t>16 - PRÉPARATIONS DE VIANDE, DE POISSONS, DE CRUSTACÉS, DE MOLLUSQUES, D’AUTRES INVERTÉBRÉS AQUATIQUES OU D’INSECTES</w:t>
      </w:r>
    </w:p>
    <w:p w:rsidR="00BA44B2" w:rsidRPr="00A90228" w:rsidRDefault="004B07C3" w:rsidP="3DFDAB3A">
      <w:pPr>
        <w:pStyle w:val="Heading21"/>
        <w:ind w:left="1080" w:hanging="630"/>
      </w:pPr>
      <w:r>
        <w:t>Descriptio</w:t>
      </w:r>
      <w:r>
        <w:t>n du produit agricole portant la dénomination enregistrée</w:t>
      </w:r>
    </w:p>
    <w:tbl>
      <w:tblPr>
        <w:tblStyle w:val="TableGrid0"/>
        <w:tblW w:w="0" w:type="auto"/>
        <w:tblInd w:w="993" w:type="dxa"/>
        <w:tblLayout w:type="fixed"/>
        <w:tblLook w:val="06A0" w:firstRow="1" w:lastRow="0" w:firstColumn="1" w:lastColumn="0" w:noHBand="1" w:noVBand="1"/>
      </w:tblPr>
      <w:tblGrid>
        <w:gridCol w:w="7440"/>
      </w:tblGrid>
      <w:tr w:rsidR="0033237C" w:rsidTr="00256A1C">
        <w:trPr>
          <w:trHeight w:val="300"/>
        </w:trPr>
        <w:tc>
          <w:tcPr>
            <w:tcW w:w="7440" w:type="dxa"/>
            <w:tcBorders>
              <w:top w:val="nil"/>
              <w:left w:val="nil"/>
              <w:bottom w:val="nil"/>
              <w:right w:val="nil"/>
            </w:tcBorders>
          </w:tcPr>
          <w:p w:rsidR="7096B4A6" w:rsidRDefault="004B07C3" w:rsidP="00DB50EE">
            <w:pPr>
              <w:pStyle w:val="Normal1"/>
            </w:pPr>
            <w:r>
              <w:t>Le «Jambon de Bayonne» est une cuisse de porc d’au moins 8,5kilogrammes après parage et coupe, salée au sel sec des salines du Bassin de l’Adour et séchée dans cette zone pendant sept mois au minimu</w:t>
            </w:r>
            <w:r>
              <w:t>m. Il s’agit d’un porc charcutier, mâle ou femelle, né, élevé et abattu dans une zone délimitée.</w:t>
            </w:r>
          </w:p>
          <w:p w:rsidR="0033237C" w:rsidRDefault="004B07C3">
            <w:pPr>
              <w:pStyle w:val="Normal1"/>
              <w:spacing w:after="280" w:afterAutospacing="1"/>
            </w:pPr>
            <w:r>
              <w:t>En fin de fabrication, le jambon a perdu au moins 28% de son poids initial.</w:t>
            </w:r>
          </w:p>
          <w:p w:rsidR="0033237C" w:rsidRDefault="004B07C3">
            <w:pPr>
              <w:pStyle w:val="Normal1"/>
              <w:spacing w:after="280" w:afterAutospacing="1"/>
            </w:pPr>
            <w:r>
              <w:lastRenderedPageBreak/>
              <w:t>Critères d’aspect</w:t>
            </w:r>
          </w:p>
          <w:p w:rsidR="0033237C" w:rsidRDefault="004B07C3">
            <w:pPr>
              <w:pStyle w:val="Normal1"/>
              <w:spacing w:after="280" w:afterAutospacing="1"/>
            </w:pPr>
            <w:r>
              <w:t>La forme extérieure est arrondie</w:t>
            </w:r>
          </w:p>
          <w:p w:rsidR="0033237C" w:rsidRDefault="004B07C3">
            <w:pPr>
              <w:pStyle w:val="Normal1"/>
              <w:spacing w:after="280" w:afterAutospacing="1"/>
            </w:pPr>
            <w:r>
              <w:t xml:space="preserve">La couenne uniforme en couleur </w:t>
            </w:r>
            <w:r>
              <w:t>est étirée au niveau du jarret et sans traces d’hématomes</w:t>
            </w:r>
          </w:p>
          <w:p w:rsidR="0033237C" w:rsidRDefault="004B07C3">
            <w:pPr>
              <w:pStyle w:val="Normal1"/>
              <w:spacing w:after="280" w:afterAutospacing="1"/>
            </w:pPr>
            <w:r>
              <w:t>Le jambon ne présente pas d’aspect anormalement gonflé</w:t>
            </w:r>
          </w:p>
          <w:p w:rsidR="0033237C" w:rsidRDefault="004B07C3">
            <w:pPr>
              <w:pStyle w:val="Normal1"/>
              <w:spacing w:after="280" w:afterAutospacing="1"/>
            </w:pPr>
            <w:r>
              <w:t>La partie musculaire externe est non croûtée</w:t>
            </w:r>
          </w:p>
          <w:p w:rsidR="0033237C" w:rsidRDefault="004B07C3">
            <w:pPr>
              <w:pStyle w:val="Normal1"/>
              <w:spacing w:after="280" w:afterAutospacing="1"/>
            </w:pPr>
            <w:r>
              <w:t>Présentation du produit</w:t>
            </w:r>
          </w:p>
          <w:p w:rsidR="0033237C" w:rsidRDefault="004B07C3">
            <w:pPr>
              <w:pStyle w:val="Normal1"/>
              <w:spacing w:after="280" w:afterAutospacing="1"/>
            </w:pPr>
            <w:r>
              <w:t>Entiers avec os: nus ou conditionnés</w:t>
            </w:r>
          </w:p>
          <w:p w:rsidR="0033237C" w:rsidRDefault="004B07C3">
            <w:pPr>
              <w:pStyle w:val="Normal1"/>
              <w:spacing w:after="280" w:afterAutospacing="1"/>
            </w:pPr>
            <w:r>
              <w:t xml:space="preserve">Désossés, découennés, dégraissés, </w:t>
            </w:r>
            <w:r>
              <w:t>pressés, moulés, et conditionnés</w:t>
            </w:r>
          </w:p>
          <w:p w:rsidR="0033237C" w:rsidRDefault="004B07C3">
            <w:pPr>
              <w:pStyle w:val="Normal1"/>
              <w:spacing w:after="280" w:afterAutospacing="1"/>
            </w:pPr>
            <w:r>
              <w:t>Entiers désossés ou en morceaux</w:t>
            </w:r>
          </w:p>
          <w:p w:rsidR="0033237C" w:rsidRDefault="004B07C3">
            <w:pPr>
              <w:pStyle w:val="Normal1"/>
              <w:spacing w:after="280" w:afterAutospacing="1"/>
            </w:pPr>
            <w:r>
              <w:t>Tranchés</w:t>
            </w:r>
          </w:p>
          <w:p w:rsidR="0033237C" w:rsidRDefault="004B07C3">
            <w:pPr>
              <w:pStyle w:val="Normal1"/>
              <w:spacing w:after="280" w:afterAutospacing="1"/>
            </w:pPr>
            <w:r>
              <w:t>Caractéristiques chimiques</w:t>
            </w:r>
          </w:p>
          <w:p w:rsidR="0033237C" w:rsidRDefault="004B07C3">
            <w:pPr>
              <w:pStyle w:val="Normal1"/>
              <w:spacing w:after="280" w:afterAutospacing="1"/>
            </w:pPr>
            <w:r>
              <w:t>La teneur de chlorure de sodium est inférieure ou égale à 7,5%</w:t>
            </w:r>
          </w:p>
          <w:p w:rsidR="0033237C" w:rsidRDefault="004B07C3">
            <w:pPr>
              <w:pStyle w:val="Normal1"/>
              <w:spacing w:after="280" w:afterAutospacing="1"/>
            </w:pPr>
            <w:r>
              <w:t>La teneur en humidité est inférieure ou égale à 61%</w:t>
            </w:r>
          </w:p>
          <w:p w:rsidR="0033237C" w:rsidRDefault="004B07C3">
            <w:pPr>
              <w:pStyle w:val="Normal1"/>
              <w:spacing w:after="280" w:afterAutospacing="1"/>
            </w:pPr>
            <w:r>
              <w:t>La teneur en nitrate de potassium (E252)</w:t>
            </w:r>
            <w:r>
              <w:t xml:space="preserve"> est inférieure à 73 mg/kg d’ion NO3, soit à 100 mg/kg exprimé en NaNO3 en dose résiduelle</w:t>
            </w:r>
          </w:p>
          <w:p w:rsidR="0033237C" w:rsidRDefault="004B07C3">
            <w:pPr>
              <w:pStyle w:val="Normal1"/>
              <w:spacing w:after="280" w:afterAutospacing="1"/>
            </w:pPr>
            <w:r>
              <w:t>Caractéristiques organoleptiques</w:t>
            </w:r>
          </w:p>
          <w:p w:rsidR="0033237C" w:rsidRDefault="004B07C3">
            <w:pPr>
              <w:pStyle w:val="Normal1"/>
              <w:spacing w:after="280" w:afterAutospacing="1"/>
            </w:pPr>
            <w:r>
              <w:t>Maigre de couleur homogène, rouge clair à rouge foncé, légèrement persillé à persillé</w:t>
            </w:r>
          </w:p>
          <w:p w:rsidR="0033237C" w:rsidRDefault="004B07C3">
            <w:pPr>
              <w:pStyle w:val="Normal1"/>
              <w:spacing w:after="280" w:afterAutospacing="1"/>
            </w:pPr>
            <w:r>
              <w:t>Tendre et moelleux</w:t>
            </w:r>
          </w:p>
          <w:p w:rsidR="0033237C" w:rsidRDefault="004B07C3">
            <w:pPr>
              <w:pStyle w:val="Normal1"/>
              <w:spacing w:after="280" w:afterAutospacing="1"/>
            </w:pPr>
            <w:r>
              <w:t>Gras blanc, homogène, ferme</w:t>
            </w:r>
            <w:r>
              <w:t>, non huileux et sans odeur de rance</w:t>
            </w:r>
          </w:p>
          <w:p w:rsidR="0033237C" w:rsidRDefault="004B07C3">
            <w:pPr>
              <w:pStyle w:val="Normal1"/>
              <w:spacing w:after="280" w:afterAutospacing="1"/>
            </w:pPr>
            <w:r>
              <w:t>Odeur typée de salaison sèche</w:t>
            </w:r>
          </w:p>
          <w:p w:rsidR="0033237C" w:rsidRDefault="004B07C3">
            <w:pPr>
              <w:pStyle w:val="Normal1"/>
              <w:spacing w:after="280" w:afterAutospacing="1"/>
            </w:pPr>
            <w:r>
              <w:t>Absence de défauts d’aspect dans le muscle tels que défaut de veine, présence de panne, trop de gras</w:t>
            </w:r>
          </w:p>
          <w:p w:rsidR="43C3CD81" w:rsidRDefault="004B07C3">
            <w:pPr>
              <w:pStyle w:val="Normal1"/>
              <w:spacing w:after="280" w:afterAutospacing="1"/>
            </w:pPr>
          </w:p>
        </w:tc>
      </w:tr>
    </w:tbl>
    <w:p w:rsidR="00BA44B2" w:rsidRPr="00A90228" w:rsidRDefault="004B07C3" w:rsidP="3DFDAB3A">
      <w:pPr>
        <w:pStyle w:val="Heading21"/>
        <w:ind w:left="1080" w:hanging="630"/>
      </w:pPr>
      <w:r>
        <w:lastRenderedPageBreak/>
        <w:t xml:space="preserve">Dérogations concernant l’origine des aliments pour animaux (uniquement pour les </w:t>
      </w:r>
      <w:r>
        <w:t xml:space="preserve">produits d’origine animale désignés par une appellation d’origine protégée) et restrictions à la provenance des matières premières </w:t>
      </w:r>
      <w:r>
        <w:lastRenderedPageBreak/>
        <w:t>(uniquement pour les produits transformés désignés par une indication géographique protégée)</w:t>
      </w:r>
    </w:p>
    <w:p w:rsidR="17BED756" w:rsidRDefault="004B07C3" w:rsidP="3DFDAB3A">
      <w:pPr>
        <w:pStyle w:val="Normal1"/>
        <w:ind w:left="1080"/>
        <w:jc w:val="left"/>
      </w:pPr>
      <w:r>
        <w:t>Les producteurs de «Jambon de Ba</w:t>
      </w:r>
      <w:r>
        <w:t xml:space="preserve">yonne» se fournissent historiquement en jambons provenant de porcs nés </w:t>
      </w:r>
      <w:proofErr w:type="gramStart"/>
      <w:r>
        <w:t>et</w:t>
      </w:r>
      <w:proofErr w:type="gramEnd"/>
      <w:r>
        <w:t xml:space="preserve"> élevés dans le Sud-Ouest de la France. En effet, les porcs engraissés dans cette région étaient historiquement plus lourds </w:t>
      </w:r>
      <w:proofErr w:type="gramStart"/>
      <w:r>
        <w:t>et</w:t>
      </w:r>
      <w:proofErr w:type="gramEnd"/>
      <w:r>
        <w:t xml:space="preserve"> nourris à base de céréales locales, dont le maïs dès son</w:t>
      </w:r>
      <w:r>
        <w:t xml:space="preserve"> arrivée sur le continent européen. Cette zone d’approvisionnement en porcs correspond à une unité géographique </w:t>
      </w:r>
      <w:proofErr w:type="gramStart"/>
      <w:r>
        <w:t>et</w:t>
      </w:r>
      <w:proofErr w:type="gramEnd"/>
      <w:r>
        <w:t xml:space="preserve"> climatique (ensoleillement et températures estivales favorables à la culture de céréales) ainsi qu’une unité économique et humaine par la com</w:t>
      </w:r>
      <w:r>
        <w:t>plémentarité entre zone de naissage des porcelets/zone d’engraissement des porcs et par des courants commerciaux historiques. Ainsi, depuis son enregistrement en IGP, le cahier des charges du « Jambon de Bayonne » prévoit que les jambons proviennent de por</w:t>
      </w:r>
      <w:r>
        <w:t>cs nés, élevés et abattus dans les départements du Sud-Ouest de la France, à savoir : Ariège,Aude,Aveyron,Cantal,Charente,Charente-Maritime, Corrèze,Dordogne,Haute-Garonne,Gers,Gironde,Landes,Lot,Lot-et-Garonne,Pyrénées-Atlantiques,Hautes-Pyrénées, Pyrénée</w:t>
      </w:r>
      <w:r>
        <w:t xml:space="preserve">s-Orientales,Deux- Sèvres,Tarn,Tarn-et-Garonne,Vienne,Haute-Vienne. Par ailleurs, le sel utilisé pour le salage du «Jambon de Bayonne» provient exclusivement des gisements du bassin de l'Adour. Ce sel </w:t>
      </w:r>
      <w:proofErr w:type="gramStart"/>
      <w:r>
        <w:t>est</w:t>
      </w:r>
      <w:proofErr w:type="gramEnd"/>
      <w:r>
        <w:t xml:space="preserve"> utilisé pour sa pureté et sa texture non-abrasive p</w:t>
      </w:r>
      <w:r>
        <w:t xml:space="preserve">ermettant une conservation optimale des jambons sans altération les qualités organoleptiques du produit. </w:t>
      </w:r>
    </w:p>
    <w:p w:rsidR="00BA44B2" w:rsidRPr="00A90228" w:rsidRDefault="004B07C3" w:rsidP="3DFDAB3A">
      <w:pPr>
        <w:pStyle w:val="Heading21"/>
        <w:ind w:left="1080" w:hanging="630"/>
      </w:pPr>
      <w:r>
        <w:t>Étapes spécifiques de la production qui doit avoir lieu dans l’aire géographique délimitée</w:t>
      </w:r>
    </w:p>
    <w:tbl>
      <w:tblPr>
        <w:tblStyle w:val="TableGrid0"/>
        <w:tblW w:w="0" w:type="auto"/>
        <w:tblInd w:w="993" w:type="dxa"/>
        <w:tblLayout w:type="fixed"/>
        <w:tblLook w:val="0600" w:firstRow="0" w:lastRow="0" w:firstColumn="0" w:lastColumn="0" w:noHBand="1" w:noVBand="1"/>
      </w:tblPr>
      <w:tblGrid>
        <w:gridCol w:w="7410"/>
      </w:tblGrid>
      <w:tr w:rsidR="0033237C" w:rsidTr="003739BB">
        <w:trPr>
          <w:trHeight w:val="300"/>
        </w:trPr>
        <w:tc>
          <w:tcPr>
            <w:tcW w:w="7410" w:type="dxa"/>
            <w:tcBorders>
              <w:top w:val="nil"/>
              <w:left w:val="nil"/>
              <w:bottom w:val="nil"/>
              <w:right w:val="nil"/>
            </w:tcBorders>
          </w:tcPr>
          <w:p w:rsidR="2320A506" w:rsidRDefault="004B07C3" w:rsidP="003739BB">
            <w:pPr>
              <w:pStyle w:val="Normal1"/>
              <w:rPr>
                <w:color w:val="000000"/>
              </w:rPr>
            </w:pPr>
            <w:r>
              <w:t>Toutes les étapes de la fabrication depuis la mise au sel d</w:t>
            </w:r>
            <w:r>
              <w:t>u jambon frais, jusqu’au désossage ont lieu dans l’aire géographique.</w:t>
            </w:r>
          </w:p>
        </w:tc>
      </w:tr>
    </w:tbl>
    <w:p w:rsidR="00BA44B2" w:rsidRPr="00A90228" w:rsidRDefault="004B07C3" w:rsidP="3DFDAB3A">
      <w:pPr>
        <w:pStyle w:val="Heading21"/>
        <w:ind w:left="1080" w:hanging="630"/>
      </w:pPr>
      <w:r>
        <w:t>Règles spécifiques applicables au conditionnement, tranchage, râpage, etc., du produit agricole auquel la dénomination fait référence</w:t>
      </w:r>
    </w:p>
    <w:p w:rsidR="475EE9E9" w:rsidRDefault="004B07C3" w:rsidP="3DFDAB3A">
      <w:pPr>
        <w:pStyle w:val="Normal1"/>
        <w:ind w:left="1080"/>
        <w:jc w:val="left"/>
      </w:pPr>
      <w:r>
        <w:t xml:space="preserve">Le pré-tranchage </w:t>
      </w:r>
      <w:proofErr w:type="gramStart"/>
      <w:r>
        <w:t>et</w:t>
      </w:r>
      <w:proofErr w:type="gramEnd"/>
      <w:r>
        <w:t xml:space="preserve"> le conditionnement ont lieu dan</w:t>
      </w:r>
      <w:r>
        <w:t>s l’aire géographique de l’IGP «Jambon de Bayonne».</w:t>
      </w:r>
    </w:p>
    <w:p w:rsidR="0033237C" w:rsidRDefault="004B07C3" w:rsidP="3DFDAB3A">
      <w:pPr>
        <w:pStyle w:val="Normal1"/>
        <w:ind w:left="1080"/>
        <w:jc w:val="left"/>
      </w:pPr>
      <w:r>
        <w:t>Le pré-tranchage consiste à découper les jambons désossés, en morceaux ou en tranches.</w:t>
      </w:r>
    </w:p>
    <w:p w:rsidR="0033237C" w:rsidRDefault="004B07C3" w:rsidP="3DFDAB3A">
      <w:pPr>
        <w:pStyle w:val="Normal1"/>
        <w:ind w:left="1080"/>
        <w:jc w:val="left"/>
      </w:pPr>
      <w:r>
        <w:t xml:space="preserve">Cette restriction à l’aire géographique ne concerne pas le tranchage </w:t>
      </w:r>
      <w:proofErr w:type="gramStart"/>
      <w:r>
        <w:t>et</w:t>
      </w:r>
      <w:proofErr w:type="gramEnd"/>
      <w:r>
        <w:t xml:space="preserve"> le conditionnement en vue de la vente immédia</w:t>
      </w:r>
      <w:r>
        <w:t>te au sens de l’article 2, point 2) e), du règlement UE no1169/2011.</w:t>
      </w:r>
    </w:p>
    <w:p w:rsidR="0033237C" w:rsidRDefault="004B07C3" w:rsidP="3DFDAB3A">
      <w:pPr>
        <w:pStyle w:val="Normal1"/>
        <w:ind w:left="1080"/>
        <w:jc w:val="left"/>
      </w:pPr>
      <w:r>
        <w:t xml:space="preserve">Cette opération </w:t>
      </w:r>
      <w:proofErr w:type="gramStart"/>
      <w:r>
        <w:t>est</w:t>
      </w:r>
      <w:proofErr w:type="gramEnd"/>
      <w:r>
        <w:t xml:space="preserve"> précédée des étapes suivantes:</w:t>
      </w:r>
    </w:p>
    <w:p w:rsidR="0033237C" w:rsidRDefault="004B07C3" w:rsidP="3DFDAB3A">
      <w:pPr>
        <w:pStyle w:val="Normal1"/>
        <w:ind w:left="1080"/>
        <w:jc w:val="left"/>
      </w:pPr>
      <w:r>
        <w:t xml:space="preserve">Chaque jambon destiné au pré-tranchage </w:t>
      </w:r>
      <w:proofErr w:type="gramStart"/>
      <w:r>
        <w:t>est</w:t>
      </w:r>
      <w:proofErr w:type="gramEnd"/>
      <w:r>
        <w:t xml:space="preserve"> désossé en fonction de son poids, de son épaisseur de gras et de son temps de séchage et d’af</w:t>
      </w:r>
      <w:r>
        <w:t xml:space="preserve">finage éventuel. Au cours du désossage </w:t>
      </w:r>
      <w:proofErr w:type="gramStart"/>
      <w:r>
        <w:t>et</w:t>
      </w:r>
      <w:proofErr w:type="gramEnd"/>
      <w:r>
        <w:t xml:space="preserve"> avant équilibrage, l’opérateur vérifie que le jambon ne présente pas de défauts d’odeur ou de couleur.</w:t>
      </w:r>
    </w:p>
    <w:p w:rsidR="0033237C" w:rsidRDefault="004B07C3" w:rsidP="3DFDAB3A">
      <w:pPr>
        <w:pStyle w:val="Normal1"/>
        <w:ind w:left="1080"/>
        <w:jc w:val="left"/>
      </w:pPr>
      <w:r>
        <w:lastRenderedPageBreak/>
        <w:t>Raidissage (facultatif) d’une durée de 8 semaines maximum au cours duquel la température à cœur du jambon ne do</w:t>
      </w:r>
      <w:r>
        <w:t>it pas descendre en dessous de –13,5°C ; dans tous les cas le jambon n’est pas congelé.</w:t>
      </w:r>
    </w:p>
    <w:p w:rsidR="0033237C" w:rsidRDefault="004B07C3" w:rsidP="3DFDAB3A">
      <w:pPr>
        <w:pStyle w:val="Normal1"/>
        <w:ind w:left="1080"/>
        <w:jc w:val="left"/>
      </w:pPr>
      <w:r>
        <w:t xml:space="preserve">L’opération de pré-tranchage se situe dans le prolongement du séchage et de l’affinage éventuel et nécessite de l’expérience </w:t>
      </w:r>
      <w:proofErr w:type="gramStart"/>
      <w:r>
        <w:t>et</w:t>
      </w:r>
      <w:proofErr w:type="gramEnd"/>
      <w:r>
        <w:t xml:space="preserve"> du savoir- faire puisqu’elle a un effet </w:t>
      </w:r>
      <w:r>
        <w:t>direct sur la qualité du produit.</w:t>
      </w:r>
    </w:p>
    <w:p w:rsidR="0033237C" w:rsidRDefault="004B07C3" w:rsidP="3DFDAB3A">
      <w:pPr>
        <w:pStyle w:val="Normal1"/>
        <w:ind w:left="1080"/>
        <w:jc w:val="left"/>
      </w:pPr>
      <w:r>
        <w:t xml:space="preserve">Le savoir-faire particulier des opérateurs du Bassin de l’Adour s’inscrit dans une longue tradition. Leur expérience leur permet de trancher </w:t>
      </w:r>
      <w:proofErr w:type="gramStart"/>
      <w:r>
        <w:t>ce</w:t>
      </w:r>
      <w:proofErr w:type="gramEnd"/>
      <w:r>
        <w:t xml:space="preserve"> produit délicat en préservant sa saveur et sa texture; tout en procédant à un </w:t>
      </w:r>
      <w:r>
        <w:t xml:space="preserve">contrôle visuel rigoureux afin de veiller à l’absence de défauts des tranches (pétéchies, veine grasse, couleur hétérogène...), indécelables avant l’étape de tranchage. </w:t>
      </w:r>
    </w:p>
    <w:p w:rsidR="0033237C" w:rsidRDefault="004B07C3" w:rsidP="3DFDAB3A">
      <w:pPr>
        <w:pStyle w:val="Normal1"/>
        <w:ind w:left="1080"/>
        <w:jc w:val="left"/>
      </w:pPr>
      <w:r>
        <w:t xml:space="preserve">Le jambon prétranché </w:t>
      </w:r>
      <w:proofErr w:type="gramStart"/>
      <w:r>
        <w:t>est</w:t>
      </w:r>
      <w:proofErr w:type="gramEnd"/>
      <w:r>
        <w:t xml:space="preserve"> un produit délicat. </w:t>
      </w:r>
      <w:proofErr w:type="gramStart"/>
      <w:r>
        <w:t>Il</w:t>
      </w:r>
      <w:proofErr w:type="gramEnd"/>
      <w:r>
        <w:t xml:space="preserve"> est indispensable d’éviter tout proces</w:t>
      </w:r>
      <w:r>
        <w:t xml:space="preserve">sus d’oxydation, en limitant le contact avec l’air, ce qui nuirait à la qualité des gras et à la couleur des tranches. Le délai entre le pré-tranchage </w:t>
      </w:r>
      <w:proofErr w:type="gramStart"/>
      <w:r>
        <w:t>et</w:t>
      </w:r>
      <w:proofErr w:type="gramEnd"/>
      <w:r>
        <w:t xml:space="preserve"> le conditionnement est ainsi limité à une heure. </w:t>
      </w:r>
    </w:p>
    <w:p w:rsidR="0033237C" w:rsidRDefault="004B07C3" w:rsidP="3DFDAB3A">
      <w:pPr>
        <w:pStyle w:val="Normal1"/>
        <w:ind w:left="1080"/>
        <w:jc w:val="left"/>
      </w:pPr>
      <w:r>
        <w:t>La réalisation de ces étapes dans l’aire géographiqu</w:t>
      </w:r>
      <w:r>
        <w:t xml:space="preserve">e permet ainsi d’assurer le maintien de la qualité, des caractéristiques spécifiques du produit </w:t>
      </w:r>
      <w:proofErr w:type="gramStart"/>
      <w:r>
        <w:t>et</w:t>
      </w:r>
      <w:proofErr w:type="gramEnd"/>
      <w:r>
        <w:t xml:space="preserve"> de sa réputation. </w:t>
      </w:r>
    </w:p>
    <w:p w:rsidR="0033237C" w:rsidRDefault="004B07C3" w:rsidP="3DFDAB3A">
      <w:pPr>
        <w:pStyle w:val="Normal1"/>
        <w:ind w:left="1080"/>
        <w:jc w:val="left"/>
      </w:pPr>
      <w:r>
        <w:t>Les marques d’identification de l’IGP «Jambon de Bayonne» apposées sur la couenne lors des différentes étapes de fabrication, sont supprim</w:t>
      </w:r>
      <w:r>
        <w:t xml:space="preserve">ées lors du pré-tranchage. La réalisation des étapes de désossage, pré-tranchage </w:t>
      </w:r>
      <w:proofErr w:type="gramStart"/>
      <w:r>
        <w:t>et</w:t>
      </w:r>
      <w:proofErr w:type="gramEnd"/>
      <w:r>
        <w:t xml:space="preserve"> conditionnement dans l’aire géographique permet de limiter le risque de rupture de la traçabilité et ainsi le risque de fraude. </w:t>
      </w:r>
    </w:p>
    <w:p w:rsidR="0033237C" w:rsidRDefault="004B07C3" w:rsidP="3DFDAB3A">
      <w:pPr>
        <w:pStyle w:val="Normal1"/>
        <w:ind w:left="1080"/>
        <w:jc w:val="left"/>
      </w:pPr>
      <w:r>
        <w:t>Pour ces raisons, les opérations de pré-tra</w:t>
      </w:r>
      <w:r>
        <w:t xml:space="preserve">nchage </w:t>
      </w:r>
      <w:proofErr w:type="gramStart"/>
      <w:r>
        <w:t>et</w:t>
      </w:r>
      <w:proofErr w:type="gramEnd"/>
      <w:r>
        <w:t xml:space="preserve"> de conditionnement reposant sur un savoir-faire particulier, doivent avoir lieu dans des installations appropriées, situées dans l’aire géographique de l’indication géographique protégée, afin de garantir au produit toutes ses qualités et son aut</w:t>
      </w:r>
      <w:r>
        <w:t xml:space="preserve">henticité. </w:t>
      </w:r>
    </w:p>
    <w:p w:rsidR="0033237C" w:rsidRDefault="0033237C" w:rsidP="3DFDAB3A">
      <w:pPr>
        <w:pStyle w:val="Normal1"/>
        <w:ind w:left="1080"/>
        <w:jc w:val="left"/>
      </w:pPr>
    </w:p>
    <w:p w:rsidR="00BA44B2" w:rsidRPr="00A90228" w:rsidRDefault="004B07C3" w:rsidP="3DFDAB3A">
      <w:pPr>
        <w:pStyle w:val="Heading21"/>
        <w:ind w:left="1080" w:hanging="630"/>
      </w:pPr>
      <w:r>
        <w:t>Règles spécifiques concernant l'étiquetage du produit agricole auquel se réfère le nom enregistré</w:t>
      </w:r>
    </w:p>
    <w:tbl>
      <w:tblPr>
        <w:tblStyle w:val="TableGrid0"/>
        <w:tblW w:w="0" w:type="auto"/>
        <w:tblInd w:w="993" w:type="dxa"/>
        <w:tblBorders>
          <w:top w:val="nil"/>
          <w:left w:val="nil"/>
          <w:bottom w:val="nil"/>
          <w:right w:val="nil"/>
          <w:insideH w:val="nil"/>
          <w:insideV w:val="nil"/>
        </w:tblBorders>
        <w:tblLayout w:type="fixed"/>
        <w:tblLook w:val="06A0" w:firstRow="1" w:lastRow="0" w:firstColumn="1" w:lastColumn="0" w:noHBand="1" w:noVBand="1"/>
      </w:tblPr>
      <w:tblGrid>
        <w:gridCol w:w="7410"/>
      </w:tblGrid>
      <w:tr w:rsidR="0033237C" w:rsidTr="003739BB">
        <w:trPr>
          <w:trHeight w:val="300"/>
        </w:trPr>
        <w:tc>
          <w:tcPr>
            <w:tcW w:w="7410" w:type="dxa"/>
          </w:tcPr>
          <w:p w:rsidR="3D084813" w:rsidRDefault="004B07C3" w:rsidP="003739BB">
            <w:pPr>
              <w:pStyle w:val="Normal1"/>
            </w:pPr>
            <w:r>
              <w:t xml:space="preserve">La mention «séché et affiné dans le Bassin de l’Adour». La dénomination enregistrée du produit «Jambon de Bayonne» écrite en caractères d’une </w:t>
            </w:r>
            <w:r>
              <w:t>taille au minimum égale à 50% de la taille des caractères de la marque de l’entreprise et de la marque propre du produit, et située à proximité de celle-ci.</w:t>
            </w:r>
          </w:p>
        </w:tc>
      </w:tr>
    </w:tbl>
    <w:p w:rsidR="1E921E5A" w:rsidRDefault="004B07C3" w:rsidP="3DFDAB3A">
      <w:pPr>
        <w:pStyle w:val="Heading21"/>
        <w:ind w:left="1080" w:hanging="630"/>
        <w:rPr>
          <w:color w:val="000000"/>
        </w:rPr>
      </w:pPr>
      <w:r>
        <w:t>Description succincte de l’aire géographique</w:t>
      </w:r>
    </w:p>
    <w:tbl>
      <w:tblPr>
        <w:tblStyle w:val="TableGrid0"/>
        <w:tblW w:w="0" w:type="auto"/>
        <w:tblInd w:w="993" w:type="dxa"/>
        <w:tblLayout w:type="fixed"/>
        <w:tblLook w:val="06A0" w:firstRow="1" w:lastRow="0" w:firstColumn="1" w:lastColumn="0" w:noHBand="1" w:noVBand="1"/>
      </w:tblPr>
      <w:tblGrid>
        <w:gridCol w:w="7410"/>
      </w:tblGrid>
      <w:tr w:rsidR="0033237C" w:rsidTr="003739BB">
        <w:trPr>
          <w:trHeight w:val="300"/>
        </w:trPr>
        <w:tc>
          <w:tcPr>
            <w:tcW w:w="7410" w:type="dxa"/>
            <w:tcBorders>
              <w:top w:val="nil"/>
              <w:left w:val="nil"/>
              <w:bottom w:val="nil"/>
              <w:right w:val="nil"/>
            </w:tcBorders>
          </w:tcPr>
          <w:p w:rsidR="1C69198A" w:rsidRDefault="004B07C3" w:rsidP="003739BB">
            <w:pPr>
              <w:pStyle w:val="Normal1"/>
            </w:pPr>
            <w:r>
              <w:t>L’aire de l’IGP correspond au Bassin de l’Adour. Elle</w:t>
            </w:r>
            <w:r>
              <w:t xml:space="preserve"> comprend le </w:t>
            </w:r>
            <w:r>
              <w:rPr>
                <w:b/>
                <w:bCs/>
              </w:rPr>
              <w:t>département des Pyrénées-Atlantiques</w:t>
            </w:r>
            <w:r>
              <w:t xml:space="preserve"> et</w:t>
            </w:r>
          </w:p>
          <w:p w:rsidR="0033237C" w:rsidRDefault="004B07C3">
            <w:pPr>
              <w:pStyle w:val="Normal1"/>
              <w:spacing w:after="280" w:afterAutospacing="1"/>
            </w:pPr>
            <w:r>
              <w:rPr>
                <w:b/>
                <w:bCs/>
              </w:rPr>
              <w:lastRenderedPageBreak/>
              <w:t>Pour le département du Gers:</w:t>
            </w:r>
            <w:r>
              <w:t xml:space="preserve"> Aignan,Arblade-le-Bas,Aurensan,Avéron-Bergelle,Barcelonne-du-Gers,Bernède,Bouzon-Gellenave,Castelnavet,Termes-d'Armagnac,Beaumarchés,Cahuzac-sur-Adour,Caumont,Corneillan,Couloumé-Mondebat,Fustérouau,Galiax,Gée-Rivière,Goux,Izotges,Jû-Belloc,Labarthète,Lan</w:t>
            </w:r>
            <w:r>
              <w:t>nux,Lasserade,Lelin-Lapujolle,Loussous-Débat,Lupiac,Margouët-Meymes,Maulichères,Maumusson-Laguian,Plaisance,Pouydraguin,Préchac-sur-Adour,Projan,Riscle,Sabazan,Tasque,Saint-Aunix-Lengros,Saint-Germé,Saint-Mont,Saint-Pierre-d'Aubézies,Sarragachies,Ségos,Tar</w:t>
            </w:r>
            <w:r>
              <w:t>sac,Tieste-Uragnoux,Vergoignan,Verlus,Viella.</w:t>
            </w:r>
          </w:p>
          <w:p w:rsidR="0033237C" w:rsidRDefault="004B07C3">
            <w:pPr>
              <w:pStyle w:val="Normal1"/>
              <w:spacing w:after="280" w:afterAutospacing="1"/>
            </w:pPr>
            <w:proofErr w:type="gramStart"/>
            <w:r>
              <w:rPr>
                <w:b/>
                <w:bCs/>
              </w:rPr>
              <w:t>Pour le département des Landes:</w:t>
            </w:r>
            <w:r>
              <w:t xml:space="preserve"> Aire-sur-l'Adour,Amou,Angoumé,Angresse,Arboucave,Argelos,Arsague,Artassenx,Aubagnan,Audignon,Audon,Aurice,Azur,Bahus-Soubiran,Baigts,Banos,Bas-Mauco,Bascons,Bassercles,Bastennes,</w:t>
            </w:r>
            <w:r>
              <w:t>Bats,Bégaar,Bélus,Bénesse-lès-Dax,Bénesse-Maremne,Bergouey,Beylongue,Beyries,Biarrotte,Biaudos,Bonnegarde,Bordères-et-Lamensans,Brassempouy,Buanes,Cagnotte,Candresse,Capbreton,Carcarès-Sainte-Croix,Carcen-Ponson,Cassen,Castaignos-Souslens,Castandet,Casteln</w:t>
            </w:r>
            <w:r>
              <w:t>au-Chalosse,Castel-Sarrazin,Castelnau-Tursan,Castelner,Cauna,Cauneille,Caupenne,Cazalis,Cazères-sur-l'Adour,Classun,Clèdes,Clermont,Coudures,Dax,Doazit,Donzacq,Dumes,Duhort-Bachen,Estibeaux,Eugénie-les-Bains,Eyres-Moncube,Fargues,Gaas,Gamarde-les-Bains,Gar</w:t>
            </w:r>
            <w:r>
              <w:t>rey,Gaujacq,Geaune,Gibret,Gourbera,Goos,Gousse,Gouts,Grenade-sur-l'Adour,Habas,Hagetmau,Hastingues,Hauriet,Heugas,Herm,Hinx,Horsarrieu,Josse,Labastide-Chalosse,Labatut,Labenne,Lacajunte,Lacrabe,Lahosse,Laluque,Lamothe,Larbey,Larrivière-Saint-Savin,Latrille</w:t>
            </w:r>
            <w:r>
              <w:t>,Laurède,Lauret,Lesgor,Le Leuy,Louer,Lourquen,Lussagnet,Magescq,Mant,Marpaps,Mauries,Maurrin,Maylis,Mées,Meilhan,Messanges,Mimbaste,Miramont-Sensacq,Misson,Moliets-et-Maa,Momuy,Monget,Monségur,Montaut,Montfort-en-Chalosse,Montgaillard,Montsoué,Morganx,Mous</w:t>
            </w:r>
            <w:r>
              <w:t>cardès,Mugron,Narrosse,Nassiet,Nerbis,Nousse,Oeyreluy,Oeyregave,Onard,Ondres,Orist,Orx,Orthevielle,Ossages,Ozourt,Payros-Cazautets,Pécorade,Pey,Peyre,Peyrehorade,Philondenx,Pimbo,Pomarez,Pontonx-sur-l'Adour,Port-de-Lanne,Poudenx,Pouillon,Poyanne,Poyartin,P</w:t>
            </w:r>
            <w:r>
              <w:t>réchacq-les-Bains,Puyol-Cazalet,Renung,Rion-des-Landes,Rivière-Saas-et-Gourby,Saint-Agnet,Saint-André-de-Seignanx,Saint-Aubin,Saint-Barthélemy,Sainte-Colombe,Saint-Cricq-Chalosse,Saint-Cricq-du-Gave,Saint-Etienne-d'Orthe,Saint-Geours-d'Auribat,Saint-Geours</w:t>
            </w:r>
            <w:r>
              <w:t>-de-Maremne,Saint-Jean-de-Lier,Saint-Jean-de-Marsacq,Saint-Laurent-de-Gosse,Saint-Lon-les-Mines,Saint-Loubouer,Sainte-Marie-de-Gosse,Saint-Martin-de-</w:t>
            </w:r>
            <w:r>
              <w:lastRenderedPageBreak/>
              <w:t>Hinx,Saint-Martin-de-Seignanx,Saint-Maurice-sur-Adour,Saint-Pandelon,Saint-Paul-lès-Dax,Saint-Sever,Saint-V</w:t>
            </w:r>
            <w:r>
              <w:t>incent-de-Paul,Saint-Vincent-de-Tyrosse,Saint-Yaguen,Samadet,Sarraziet,Sarron,Saubion,Saubrigues,Saubusse,Saugnac-et-Cambran,Seignosse,Serres-Gaston,Serreslous-et-Arribans,Seyresse,Siest,Soorts-Hossegor,Sorbets,Sorde-l'Abbaye,Sort-en-Chalosse,Souprosse,Sou</w:t>
            </w:r>
            <w:r>
              <w:t>stons,Tarnos,Tartas,Tercis-les-Bains,Téthieu,Tilh,Tosse,Toulouzette,Urgons,Vicq-d'Auribat,Vielle-Tursan,Vieux-Boucau-les-Bains,Le Vignau,Villenave,Yzosse.</w:t>
            </w:r>
            <w:proofErr w:type="gramEnd"/>
          </w:p>
          <w:p w:rsidR="0033237C" w:rsidRDefault="004B07C3">
            <w:pPr>
              <w:pStyle w:val="Normal1"/>
              <w:spacing w:after="280" w:afterAutospacing="1"/>
            </w:pPr>
            <w:proofErr w:type="gramStart"/>
            <w:r>
              <w:rPr>
                <w:b/>
                <w:bCs/>
              </w:rPr>
              <w:t>Pour le département des Hautes-Pyrénées:</w:t>
            </w:r>
            <w:r>
              <w:t>Adast,Adé,Agos-Vidalos,Allier,Ancizan,Andrest,Les Angles,Ango</w:t>
            </w:r>
            <w:r>
              <w:t>s,Ansost,Antist,Aragnouet,Arbéost,Arcizac-Adour,Arcizac-ez-Angles,Arcizans-Avant,Arcizans-Dessus,Ardengost,Argelès-Bagnères,Argelès-Gazost,Arras-en-Lavedan,Arrayou-Lahitte,Arreau,Arrens-Marsous,Arrodets-ez-Angles,Artagnan,Artalens-Souin,Artigues,Aspin-Aure</w:t>
            </w:r>
            <w:r>
              <w:t>,Aspin-en-Lavedan,Asté,Astugue,Aucun,Aulon,Aureilhan,Aurensan,Auriébat,Averan,Ayros-Arbouix,Ayzac-Ost,Azereix,Azet,Bagnères-de-Bigorre,Banios,Barbachen,Barbazan-Debat,Barèges,Barlest,Barrancoueu,Barry,Bartrès,Bazet,Bazillac,Bazus-Aure,Beaucens,Beaudéan,Bén</w:t>
            </w:r>
            <w:r>
              <w:t>ac,Berbérust-Lias,Bernac-Debat,Bernac-Dessus,Betpouey,Bettes,Beyrède-Jumet-Camous,Boô-Silhen,Bordères-sur-l'Echez,Bouilh-Devant,Bourisp,Bourréac,Bours,Bun,Buzon,Cadéac,Cadeilhan-Trachère,Caixon,Camalès,Campan,Camparan,Castelnau-Rivière-Basse,Caussade-Riviè</w:t>
            </w:r>
            <w:r>
              <w:t>re,Cauterets,Cheust,Chèze,Chis,Cieutat,Ens,Escaunets,Escondeaux,Escoubès-Pouts,Esquièze-Sère,Estaing,Estensan,Esterre,Estirac,Ferrières,Fréchet-Aure,Gaillagos,Gardères,Gavarnie-Gèdre,Gayan,Gazost,Gensac,Ger,Gerde,Germs-sur-l'Oussouet,Geu,Gez,Gez-ez-Angles,</w:t>
            </w:r>
            <w:r>
              <w:t>Gouaux,Grailhen,Grézian,Grust,Guchan,Guchen,Hagedet,Hauban,Hèches,Hères,Hibarette,Hiis,Horgues,Ibos,Ilhet,Jarret,Jézeau,Juillan,Julos,Juncalas,Labassère,Labatut-Rivière,Lacassagne,Lafitole,Lagarde,Lahitte-Toupière,Laloubère,Lamarque-Pontacq,Laméac,Lançon,L</w:t>
            </w:r>
            <w:r>
              <w:t>anne,Larreule,Lascazères,Lau-Balagnas,Layrisse,Lescurry,Lézignan,Liac,Lies,Loubajac,Loucrup,Louey,Lourdes,Lugagnan,Luquet,Luz-Saint-Sauveur,Madiran,Mansan,Marsac,Marsas,Maubourguet,Mérilheu,Mingot,Momères,Monfaucon,Montgaillard,Montignac,Moumoulous,Neuilh,</w:t>
            </w:r>
            <w:r>
              <w:t>Nouilhan,Odos,Omex,Ordizan,Orignac,Orincles,Orleix,Oroix,Ossen,Ossun,Ossun-ez-Angles,Ourdis-Cotdoussan,Ourdon,Oursbelille,Ousté,Ouzous,Pailhac,Paréac,Peyrouse,Peyrun,Pierrefitte-Nestalas,Pintac,Poueyferré,Pouzac,Préchac,Pujo,Rabastens-de-Bigorre,Sailhan,Sa</w:t>
            </w:r>
            <w:r>
              <w:t>int-Créac,Saint-Lanne,Saint-Lary-Soulan,Saint-Lézer,Saint-Martin,Saint-Pastous,Saint-Pé-de-Bigorre,Saint-Savin,Saint-Sever-de-Rustan,Saligos,Salles,Salles-</w:t>
            </w:r>
            <w:r>
              <w:lastRenderedPageBreak/>
              <w:t>Adour,Sanous,Sarniguet,Sarrancolin,Sarriac-Bigorre,Sarrouilles,Sassis,Sauveterre,Sazos,Ségalas,Ségus,</w:t>
            </w:r>
            <w:r>
              <w:t>Séméac,Sénac,Sère-en-Lavedan,Sère-Lanso,Séron,Sers,Siarrouy,Sireix,Sombrun,Soublecause,Soues,Soulom,Talazac,Tarasteix,Tarbes,Tostat,Tramezaïgues,Trébons,Trouley-Labarthe,Ugnouas,Uz,Uzer,Vic-en-Bigorre,Vidouze,Viella,Vielle-Adour,Vielle-Aure,Vier-Bordes,Vie</w:t>
            </w:r>
            <w:r>
              <w:t>y,Viger,Vignec,Villefranque,Villelongue,Villenave-près-Béarn,Villenave-près-Marsac,Viscos,Visker.</w:t>
            </w:r>
            <w:proofErr w:type="gramEnd"/>
          </w:p>
          <w:p w:rsidR="0033237C" w:rsidRDefault="0033237C">
            <w:pPr>
              <w:pStyle w:val="Normal1"/>
              <w:spacing w:after="280" w:afterAutospacing="1"/>
            </w:pPr>
          </w:p>
        </w:tc>
      </w:tr>
    </w:tbl>
    <w:p w:rsidR="5C3E2BC7" w:rsidRDefault="004B07C3" w:rsidP="3DFDAB3A">
      <w:pPr>
        <w:pStyle w:val="Heading11"/>
        <w:ind w:left="450" w:hanging="450"/>
        <w:rPr>
          <w:color w:val="000000"/>
        </w:rPr>
      </w:pPr>
      <w:r>
        <w:lastRenderedPageBreak/>
        <w:t>Lien avec l’aire géographique</w:t>
      </w:r>
    </w:p>
    <w:p w:rsidR="73986284" w:rsidRDefault="004B07C3" w:rsidP="3DFDAB3A">
      <w:pPr>
        <w:pStyle w:val="Normal1"/>
        <w:ind w:left="450"/>
        <w:jc w:val="left"/>
      </w:pPr>
      <w:r w:rsidRPr="3DFDAB3A">
        <w:rPr>
          <w:b/>
          <w:bCs/>
        </w:rPr>
        <w:t xml:space="preserve">Le lien de causalité avec l’origine géographique </w:t>
      </w:r>
      <w:proofErr w:type="gramStart"/>
      <w:r w:rsidRPr="3DFDAB3A">
        <w:rPr>
          <w:b/>
          <w:bCs/>
        </w:rPr>
        <w:t>est</w:t>
      </w:r>
      <w:proofErr w:type="gramEnd"/>
      <w:r w:rsidRPr="3DFDAB3A">
        <w:rPr>
          <w:b/>
          <w:bCs/>
        </w:rPr>
        <w:t xml:space="preserve"> fondé sur</w:t>
      </w:r>
    </w:p>
    <w:p w:rsidR="73986284" w:rsidRDefault="004B07C3" w:rsidP="3DFDAB3A">
      <w:pPr>
        <w:pStyle w:val="Normal1"/>
        <w:ind w:left="450"/>
        <w:jc w:val="left"/>
      </w:pPr>
      <w:r>
        <w:t>☑</w:t>
      </w:r>
      <w:r>
        <w:t xml:space="preserve"> </w:t>
      </w:r>
      <w:proofErr w:type="gramStart"/>
      <w:r>
        <w:t>réputation</w:t>
      </w:r>
      <w:proofErr w:type="gramEnd"/>
    </w:p>
    <w:p w:rsidR="73986284" w:rsidRDefault="004B07C3" w:rsidP="3DFDAB3A">
      <w:pPr>
        <w:pStyle w:val="Normal1"/>
        <w:ind w:left="450"/>
        <w:jc w:val="left"/>
      </w:pPr>
      <w:r>
        <w:t>☑</w:t>
      </w:r>
      <w:r>
        <w:t xml:space="preserve"> </w:t>
      </w:r>
      <w:proofErr w:type="gramStart"/>
      <w:r>
        <w:t>qualité</w:t>
      </w:r>
      <w:proofErr w:type="gramEnd"/>
      <w:r>
        <w:t xml:space="preserve"> donnée</w:t>
      </w:r>
    </w:p>
    <w:p w:rsidR="73986284" w:rsidRDefault="004B07C3" w:rsidP="3DFDAB3A">
      <w:pPr>
        <w:pStyle w:val="Normal1"/>
        <w:ind w:left="450"/>
        <w:jc w:val="left"/>
      </w:pPr>
      <w:r>
        <w:t>☐</w:t>
      </w:r>
      <w:r>
        <w:t xml:space="preserve"> </w:t>
      </w:r>
      <w:proofErr w:type="gramStart"/>
      <w:r>
        <w:t>autres</w:t>
      </w:r>
      <w:proofErr w:type="gramEnd"/>
      <w:r>
        <w:t xml:space="preserve"> caractéristiques</w:t>
      </w:r>
    </w:p>
    <w:p w:rsidR="73986284" w:rsidRPr="0097257E" w:rsidRDefault="004B07C3" w:rsidP="3DFDAB3A">
      <w:pPr>
        <w:pStyle w:val="Normal1"/>
        <w:ind w:left="450"/>
        <w:jc w:val="left"/>
        <w:rPr>
          <w:b/>
          <w:bCs/>
        </w:rPr>
      </w:pPr>
      <w:r w:rsidRPr="3DFDAB3A">
        <w:rPr>
          <w:b/>
          <w:bCs/>
        </w:rPr>
        <w:t xml:space="preserve">Résumé </w:t>
      </w:r>
      <w:r w:rsidRPr="3DFDAB3A">
        <w:rPr>
          <w:b/>
          <w:bCs/>
        </w:rPr>
        <w:t>du lien</w:t>
      </w:r>
    </w:p>
    <w:tbl>
      <w:tblPr>
        <w:tblStyle w:val="TableGrid0"/>
        <w:tblW w:w="0" w:type="auto"/>
        <w:tblInd w:w="340" w:type="dxa"/>
        <w:tblBorders>
          <w:top w:val="nil"/>
          <w:left w:val="nil"/>
          <w:bottom w:val="nil"/>
          <w:right w:val="nil"/>
          <w:insideH w:val="nil"/>
          <w:insideV w:val="nil"/>
        </w:tblBorders>
        <w:tblLayout w:type="fixed"/>
        <w:tblLook w:val="06A0" w:firstRow="1" w:lastRow="0" w:firstColumn="1" w:lastColumn="0" w:noHBand="1" w:noVBand="1"/>
      </w:tblPr>
      <w:tblGrid>
        <w:gridCol w:w="8130"/>
      </w:tblGrid>
      <w:tr w:rsidR="0033237C" w:rsidTr="003739BB">
        <w:trPr>
          <w:trHeight w:val="300"/>
        </w:trPr>
        <w:tc>
          <w:tcPr>
            <w:tcW w:w="8130" w:type="dxa"/>
          </w:tcPr>
          <w:p w:rsidR="632A0075" w:rsidRDefault="004B07C3" w:rsidP="003739BB">
            <w:pPr>
              <w:pStyle w:val="Normal1"/>
              <w:ind w:left="-90"/>
            </w:pPr>
            <w:r>
              <w:t>Le lien avec l’aire géographique de l’IGP «Jambon de Bayonne» repose sur une qualité déterminée et sa réputation. Sa qualité déterminée à savoir, la forme arrondie, la couleur homogène de la tranche et une texture tendre et moelleuse, un gras blanc</w:t>
            </w:r>
            <w:r>
              <w:t xml:space="preserve"> et ferme, résulte de la sélection de la matière première, du sel employé, et du savoir-faire des salaisonniers et opérateurs de la filière.</w:t>
            </w:r>
          </w:p>
          <w:p w:rsidR="0033237C" w:rsidRDefault="004B07C3">
            <w:pPr>
              <w:pStyle w:val="Normal1"/>
              <w:spacing w:after="280" w:afterAutospacing="1"/>
            </w:pPr>
            <w:r>
              <w:t>Le climat des Pays de l’Adour, océanique tempéré avec une nuance méridionale, résulte principalement de la conjonct</w:t>
            </w:r>
            <w:r>
              <w:t>ion de deux éléments: la proximité de l’Océan Atlantique d’une part, et de la chaîne des Pyrénées d’autre part. Ainsi, on observe, dans cette zone de piémont, des températures clémentes et une forte humidité relative tout au long de l’année. Néanmoins, cel</w:t>
            </w:r>
            <w:r>
              <w:t>le-ci est sujette à de fortes variations cycliques. En effet, il a été souvent remarqué que l’humidité relative pouvait passer de 90% à 20% en quelques heures. Il est important de souligner que ce phénomène est bien particulier et typique du Bassin de l’Ad</w:t>
            </w:r>
            <w:r>
              <w:t xml:space="preserve">our. Pour expliquer ce phénomène, les géographes parlent de «Foehn». Il s’agit d’un vent chaud et sec en mouvement de subsidence orographique, de direction Sud-Nord. Quand ce vent souffle sur les pays de l’Adour, on observe alors une brutale diminution de </w:t>
            </w:r>
            <w:r>
              <w:t>l’humidité relative, la température ayant aussi tendance à augmenter.</w:t>
            </w:r>
          </w:p>
          <w:p w:rsidR="0033237C" w:rsidRDefault="004B07C3">
            <w:pPr>
              <w:pStyle w:val="Normal1"/>
              <w:spacing w:after="280" w:afterAutospacing="1"/>
            </w:pPr>
            <w:r>
              <w:t>Une particularité du Bassin de l’Adour réside également dans la nature de ses sous-sols et notamment la présence de sel gemme. Le gisement de sel s’est formé il y a 200 millions d’années</w:t>
            </w:r>
            <w:r>
              <w:t>, au début de l’ère secondaire. À cette époque, la région correspondant aujourd’hui au Bassin d’Aquitaine, était en phase de subsidence et donc envahie par la mer. Le sel s’est déposé essentiellement dans la moitié sud du Bassin Aquitain, en particulier da</w:t>
            </w:r>
            <w:r>
              <w:t xml:space="preserve">ns le Bassin de l’Adour. Les sites où ce sel est </w:t>
            </w:r>
            <w:r>
              <w:lastRenderedPageBreak/>
              <w:t>proche de la surface permettent une exploitation relativement facile du sel gemme: les sites de Dax</w:t>
            </w:r>
            <w:proofErr w:type="gramStart"/>
            <w:r>
              <w:t>,Salies</w:t>
            </w:r>
            <w:proofErr w:type="gramEnd"/>
            <w:r>
              <w:t>-de-Béarn,Bayonne-Mouguerre.</w:t>
            </w:r>
          </w:p>
          <w:p w:rsidR="0033237C" w:rsidRDefault="004B07C3">
            <w:pPr>
              <w:pStyle w:val="Normal1"/>
              <w:spacing w:after="280" w:afterAutospacing="1"/>
            </w:pPr>
            <w:r>
              <w:t xml:space="preserve">On peut </w:t>
            </w:r>
            <w:proofErr w:type="gramStart"/>
            <w:r>
              <w:t>discerner</w:t>
            </w:r>
            <w:proofErr w:type="gramEnd"/>
            <w:r>
              <w:t xml:space="preserve"> au niveau des Pays de l’Adour une unité climatique ori</w:t>
            </w:r>
            <w:r>
              <w:t>ginale, avec un réseau hydrographique très dense, dont les traits caractéristiques permettent de la différencier des secteurs avoisinants.</w:t>
            </w:r>
          </w:p>
          <w:p w:rsidR="0033237C" w:rsidRDefault="004B07C3">
            <w:pPr>
              <w:pStyle w:val="Normal1"/>
              <w:spacing w:after="280" w:afterAutospacing="1"/>
            </w:pPr>
            <w:r>
              <w:t xml:space="preserve">Le porc fait partie de la tradition historique des fermes agricoles du grand Sud-Ouest. Le porc engraissé dans cette </w:t>
            </w:r>
            <w:r>
              <w:t>région a toujours été plus lourd et nourri à base de céréales locales, dont le maïs dès son arrivée sur le continent européen.</w:t>
            </w:r>
          </w:p>
          <w:p w:rsidR="0033237C" w:rsidRDefault="004B07C3">
            <w:pPr>
              <w:pStyle w:val="Normal1"/>
              <w:spacing w:after="280" w:afterAutospacing="1"/>
            </w:pPr>
            <w:r>
              <w:t>La zone de production des porcs pouvant être transformés en IGP «Jambon de Bayonne» correspond à des pratiques dont l’origine est</w:t>
            </w:r>
            <w:r>
              <w:t xml:space="preserve"> antérieure au Moyen-âge, et est reconnue pour:</w:t>
            </w:r>
          </w:p>
          <w:p w:rsidR="0033237C" w:rsidRDefault="004B07C3">
            <w:pPr>
              <w:pStyle w:val="Normal1"/>
              <w:spacing w:after="280" w:afterAutospacing="1"/>
            </w:pPr>
            <w:r>
              <w:t>— la production de porcs charcutiers adaptés à l’élaboration de jambons secs (porcs plus lourds, plus gras),</w:t>
            </w:r>
          </w:p>
          <w:p w:rsidR="0033237C" w:rsidRDefault="004B07C3">
            <w:pPr>
              <w:pStyle w:val="Normal1"/>
              <w:spacing w:after="280" w:afterAutospacing="1"/>
            </w:pPr>
            <w:r>
              <w:t>— l’adoption d’un système de production de type porcs/céréales en raison de la disponibilité locale</w:t>
            </w:r>
            <w:r>
              <w:t xml:space="preserve"> en céréales et notamment en maïs.</w:t>
            </w:r>
          </w:p>
          <w:p w:rsidR="0033237C" w:rsidRDefault="004B07C3">
            <w:pPr>
              <w:pStyle w:val="Normal1"/>
              <w:spacing w:after="280" w:afterAutospacing="1"/>
            </w:pPr>
            <w:r>
              <w:t>Cette filière s’est développée d’une manière originale, car totalement différente du modèle dominant, la filière porcine de l’Ouest de la France.</w:t>
            </w:r>
          </w:p>
          <w:p w:rsidR="0033237C" w:rsidRDefault="004B07C3">
            <w:pPr>
              <w:pStyle w:val="Normal1"/>
              <w:spacing w:after="280" w:afterAutospacing="1"/>
            </w:pPr>
            <w:r>
              <w:t>Cette zone d’approvisionnement en porcs correspond à une:</w:t>
            </w:r>
          </w:p>
          <w:p w:rsidR="0033237C" w:rsidRDefault="004B07C3">
            <w:pPr>
              <w:pStyle w:val="Normal1"/>
              <w:spacing w:after="280" w:afterAutospacing="1"/>
            </w:pPr>
            <w:r>
              <w:t>— unité géographi</w:t>
            </w:r>
            <w:r>
              <w:t>que et climatique, par un ensoleillement et des températures estivales favorables à la culture de céréales (notamment du maïs grain),</w:t>
            </w:r>
          </w:p>
          <w:p w:rsidR="0033237C" w:rsidRDefault="004B07C3">
            <w:pPr>
              <w:pStyle w:val="Normal1"/>
              <w:spacing w:after="280" w:afterAutospacing="1"/>
            </w:pPr>
            <w:r>
              <w:t xml:space="preserve">— </w:t>
            </w:r>
            <w:proofErr w:type="gramStart"/>
            <w:r>
              <w:t>unité</w:t>
            </w:r>
            <w:proofErr w:type="gramEnd"/>
            <w:r>
              <w:t xml:space="preserve"> économique et humaine, par la complémentarité entre une zone de naissage des porcelets et une zone d’engraissement</w:t>
            </w:r>
            <w:r>
              <w:t xml:space="preserve"> des porcs et par des courants commerciaux historiques permettant d’approvisionner la zone de sèche à partir des zones d’engraissement.</w:t>
            </w:r>
          </w:p>
          <w:p w:rsidR="0033237C" w:rsidRDefault="004B07C3">
            <w:pPr>
              <w:pStyle w:val="Normal1"/>
              <w:spacing w:after="280" w:afterAutospacing="1"/>
            </w:pPr>
            <w:r>
              <w:t>L’utilisation traditionnelle du sel gemme du Bassin de l’Adour pour l’IGP «Jambon de Bayonne» constitue également un mar</w:t>
            </w:r>
            <w:r>
              <w:t>queur du savoir-faire. Ce sel gemme, exploité depuis l’antiquité dans les différents gisements du Bassin de l’Adour est utilisé par les salaisonniers de la région depuis des siècles, pour sa pureté et sa texture non-abrasive, à l’inverse du sel marin. Il p</w:t>
            </w:r>
            <w:r>
              <w:t>ermet une conservation optimale des jambons sans altérer les qualités organoleptiques des produits.</w:t>
            </w:r>
          </w:p>
          <w:p w:rsidR="0033237C" w:rsidRDefault="004B07C3">
            <w:pPr>
              <w:pStyle w:val="Normal1"/>
              <w:spacing w:after="280" w:afterAutospacing="1"/>
            </w:pPr>
            <w:r>
              <w:t>Le salage est effectué de manière traditionnelle</w:t>
            </w:r>
            <w:proofErr w:type="gramStart"/>
            <w:r>
              <w:t>;</w:t>
            </w:r>
            <w:proofErr w:type="gramEnd"/>
            <w:r>
              <w:t xml:space="preserve"> le jambon est frotté au sel sec, puis massé régulièrement suivant un savoir-faire et un tour de main parti</w:t>
            </w:r>
            <w:r>
              <w:t>culiers pour en extraire progressivement le jus.</w:t>
            </w:r>
          </w:p>
          <w:p w:rsidR="0033237C" w:rsidRDefault="004B07C3">
            <w:pPr>
              <w:pStyle w:val="Normal1"/>
              <w:spacing w:after="280" w:afterAutospacing="1"/>
            </w:pPr>
            <w:r>
              <w:t>Après les phases de salage au sel du Bassin de l’Adour, puis repos, éventuellement étuvage, les jambons entrent dans une phase de séchage suivie le cas échéant par un affinage. La durée minimale de fabricati</w:t>
            </w:r>
            <w:r>
              <w:t xml:space="preserve">on d’un «Jambon de Bayonne» est de 7 </w:t>
            </w:r>
            <w:r>
              <w:lastRenderedPageBreak/>
              <w:t>mois depuis le salage jusqu’à la date de sortie de la phase de séchage et affinage éventuel. Cette durée minimale permet l’acquisition des arômes particuliers.</w:t>
            </w:r>
          </w:p>
          <w:p w:rsidR="0033237C" w:rsidRDefault="0033237C">
            <w:pPr>
              <w:pStyle w:val="Normal1"/>
              <w:spacing w:after="280" w:afterAutospacing="1"/>
            </w:pPr>
          </w:p>
          <w:p w:rsidR="0033237C" w:rsidRDefault="004B07C3">
            <w:pPr>
              <w:pStyle w:val="Normal1"/>
              <w:spacing w:after="280" w:afterAutospacing="1"/>
            </w:pPr>
            <w:r>
              <w:t>Le «Jambon de Bayonne» se caractérise par:</w:t>
            </w:r>
          </w:p>
          <w:p w:rsidR="0033237C" w:rsidRDefault="004B07C3">
            <w:pPr>
              <w:pStyle w:val="Normal1"/>
              <w:spacing w:after="280" w:afterAutospacing="1"/>
            </w:pPr>
            <w:r>
              <w:t>une couleur hom</w:t>
            </w:r>
            <w:r>
              <w:t>ogène de la tranche, rouge clair à rouge foncé, légèrement persillé à persillé;</w:t>
            </w:r>
          </w:p>
          <w:p w:rsidR="0033237C" w:rsidRDefault="004B07C3">
            <w:pPr>
              <w:pStyle w:val="Normal1"/>
              <w:spacing w:after="280" w:afterAutospacing="1"/>
            </w:pPr>
            <w:r>
              <w:t>une texture tendre et moelleuse</w:t>
            </w:r>
          </w:p>
          <w:p w:rsidR="0033237C" w:rsidRDefault="004B07C3">
            <w:pPr>
              <w:pStyle w:val="Normal1"/>
              <w:spacing w:after="280" w:afterAutospacing="1"/>
            </w:pPr>
            <w:r>
              <w:t>un gras blanc, homogène, ferme, non huileux et sans odeur de rance</w:t>
            </w:r>
          </w:p>
          <w:p w:rsidR="0033237C" w:rsidRDefault="004B07C3">
            <w:pPr>
              <w:pStyle w:val="Normal1"/>
              <w:spacing w:after="280" w:afterAutospacing="1"/>
            </w:pPr>
            <w:r>
              <w:t>une odeur typée de salaison sèche</w:t>
            </w:r>
          </w:p>
          <w:p w:rsidR="0033237C" w:rsidRDefault="004B07C3">
            <w:pPr>
              <w:pStyle w:val="Normal1"/>
              <w:spacing w:after="280" w:afterAutospacing="1"/>
            </w:pPr>
            <w:proofErr w:type="gramStart"/>
            <w:r>
              <w:t>l’absence</w:t>
            </w:r>
            <w:proofErr w:type="gramEnd"/>
            <w:r>
              <w:t xml:space="preserve"> de défauts d’aspect dans le </w:t>
            </w:r>
            <w:r>
              <w:t>muscle tels que défaut de veine, présence de panne, trop de gras.</w:t>
            </w:r>
          </w:p>
          <w:p w:rsidR="0033237C" w:rsidRDefault="0033237C">
            <w:pPr>
              <w:pStyle w:val="Normal1"/>
              <w:spacing w:after="280" w:afterAutospacing="1"/>
            </w:pPr>
          </w:p>
          <w:p w:rsidR="0033237C" w:rsidRDefault="004B07C3">
            <w:pPr>
              <w:pStyle w:val="Normal1"/>
              <w:spacing w:after="280" w:afterAutospacing="1"/>
            </w:pPr>
            <w:r>
              <w:t>Le savoir-faire de la salaison du «Jambon de Bayonne» est une vieille tradition liée notamment à l’utilisation d’un porc spécifique, à l’exploitation depuis l’antiquité des gisements de sel</w:t>
            </w:r>
            <w:r>
              <w:t xml:space="preserve"> gemme présent dans le sous-sol et au climat original du Bassin de l’Adour.</w:t>
            </w:r>
          </w:p>
          <w:p w:rsidR="0033237C" w:rsidRDefault="004B07C3">
            <w:pPr>
              <w:pStyle w:val="Normal1"/>
              <w:spacing w:after="280" w:afterAutospacing="1"/>
            </w:pPr>
            <w:r>
              <w:t>Cette zone bénéficie d’un climat particulièrement favorable à la réussite de ces préparations. Ce climat est à l’origine d’une tradition de fabrication dont la renommée, tant en Fr</w:t>
            </w:r>
            <w:r>
              <w:t>ance qu’en Europe, était déjà établie au XVIe siècle et n’a cessé de grandir depuis. Ce climat est caractérisé par le «Foehn». Ce vent a une influence directe, par les variations du degré hygrométrique de l’air ainsi que l’alternance des températures qu’il</w:t>
            </w:r>
            <w:r>
              <w:t xml:space="preserve"> entraîne, sur la maturation du jambon sec et la conservation de son moelleux caractéristique.</w:t>
            </w:r>
          </w:p>
          <w:p w:rsidR="0033237C" w:rsidRDefault="004B07C3">
            <w:pPr>
              <w:pStyle w:val="Normal1"/>
              <w:spacing w:after="280" w:afterAutospacing="1"/>
            </w:pPr>
            <w:r>
              <w:t>Les études réalisées dans le cadre de l’Université de Pau et des Pays de l’Adour qu’elles soient historiques (Chantal Lopez,1989), géographiques (Jean-Claude Jaf</w:t>
            </w:r>
            <w:r>
              <w:t>frezo,1989), géologiques (Raoul Deloffre,1989 Marie-Hélène Grimaldi,1989), mettent en évidence la tradition et la spécificité régionale de fabrication du «Jambon de Bayonne», élément marquant du patrimoine.</w:t>
            </w:r>
          </w:p>
          <w:p w:rsidR="0033237C" w:rsidRDefault="004B07C3">
            <w:pPr>
              <w:pStyle w:val="Normal1"/>
              <w:spacing w:after="280" w:afterAutospacing="1"/>
            </w:pPr>
            <w:r>
              <w:t>Cette réputation procède de la conjonction d’élém</w:t>
            </w:r>
            <w:r>
              <w:t>ents particuliers à une zone géographique, au savoir-faire et à la culture des hommes de cette région.</w:t>
            </w:r>
          </w:p>
          <w:p w:rsidR="0033237C" w:rsidRDefault="004B07C3">
            <w:pPr>
              <w:pStyle w:val="Normal1"/>
              <w:spacing w:after="280" w:afterAutospacing="1"/>
            </w:pPr>
            <w:r>
              <w:t>Elle est l’héritage d’un savoir-faire qui s’est transmis depuis toujours de génération en génération dans les familles paysannes et rurales. Le «Jambon d</w:t>
            </w:r>
            <w:r>
              <w:t>e Bayonne» était la pièce noble de la provision familiale et les paysans mettaient un soin particulier à son élaboration.</w:t>
            </w:r>
          </w:p>
          <w:p w:rsidR="0033237C" w:rsidRDefault="004B07C3">
            <w:pPr>
              <w:pStyle w:val="Normal1"/>
              <w:spacing w:after="280" w:afterAutospacing="1"/>
            </w:pPr>
            <w:r>
              <w:t xml:space="preserve">Si au départ, le jambon est l’aliment énergétique du paysan, il va ensuite devenir une monnaie d’échange en cas de </w:t>
            </w:r>
            <w:proofErr w:type="gramStart"/>
            <w:r>
              <w:t>temps</w:t>
            </w:r>
            <w:proofErr w:type="gramEnd"/>
            <w:r>
              <w:t xml:space="preserve"> difficile et </w:t>
            </w:r>
            <w:r>
              <w:t xml:space="preserve">un mode de paiement des dîmes </w:t>
            </w:r>
            <w:r>
              <w:lastRenderedPageBreak/>
              <w:t>et des baux. Puis, avec la multiplication de petits abattoirs municipaux dans les bourgs, ce dernier est devenu artisanal. Les charcutiers ont alors pris la relève pour la fabrication.</w:t>
            </w:r>
          </w:p>
          <w:p w:rsidR="0033237C" w:rsidRDefault="004B07C3">
            <w:pPr>
              <w:pStyle w:val="Normal1"/>
              <w:spacing w:after="280" w:afterAutospacing="1"/>
            </w:pPr>
            <w:r>
              <w:t xml:space="preserve">Depuis plus de 70 ans, </w:t>
            </w:r>
            <w:proofErr w:type="gramStart"/>
            <w:r>
              <w:t>s’est développée u</w:t>
            </w:r>
            <w:r>
              <w:t>ne production du</w:t>
            </w:r>
            <w:proofErr w:type="gramEnd"/>
            <w:r>
              <w:t xml:space="preserve"> «Jambon de Bayonne» à partir d’artisans qui se sont spécialisés dans la salaison pour aboutir aujourd’hui à une fabrication industrielle. Ce sont les techniques modernes, notamment du froid, permettant sa fabrication tout au long de l’anné</w:t>
            </w:r>
            <w:r>
              <w:t>e, qui ont permis cette évolution et la traduction d’un savoir-faire ancestral en méthode moderne d’obtention du produit.</w:t>
            </w:r>
          </w:p>
          <w:p w:rsidR="0033237C" w:rsidRDefault="004B07C3">
            <w:pPr>
              <w:pStyle w:val="Normal1"/>
              <w:spacing w:after="280" w:afterAutospacing="1"/>
            </w:pPr>
            <w:r>
              <w:t>La méthode d’obtention actuelle est restée fidèle à la méthode traditionnelle utilisée depuis toujours.</w:t>
            </w:r>
          </w:p>
          <w:p w:rsidR="0033237C" w:rsidRDefault="004B07C3">
            <w:pPr>
              <w:pStyle w:val="Normal1"/>
              <w:spacing w:after="280" w:afterAutospacing="1"/>
            </w:pPr>
            <w:r>
              <w:t>De nombreuses citations attest</w:t>
            </w:r>
            <w:r>
              <w:t>ent de sa réputation et de sa renommée comme certains peuvent en témoigner.</w:t>
            </w:r>
          </w:p>
          <w:p w:rsidR="0033237C" w:rsidRDefault="004B07C3">
            <w:pPr>
              <w:pStyle w:val="Normal1"/>
              <w:spacing w:after="280" w:afterAutospacing="1"/>
            </w:pPr>
            <w:r>
              <w:t>En 1673, Froidour dans son Mémoire du Pays de Soulle note: «Les porcs y sont petits, mais excellents de telle sorte que les meilleurs jambons du royaume après ceux de Lahontan sont</w:t>
            </w:r>
            <w:r>
              <w:t xml:space="preserve"> ceux de Soulle. </w:t>
            </w:r>
            <w:proofErr w:type="gramStart"/>
            <w:r>
              <w:t xml:space="preserve">Ils sont connus sous le nom de jambons de Bayonne et il n’est pas mal à propos de remarquer qu’encore que si cette ville soit si fameuse et si renommée pour ses jambons, néanmoins il ne s’y en fait presque point, mais on y débite ceux qui </w:t>
            </w:r>
            <w:r>
              <w:t>y sont portés du Labourd et de la Basse Navarre et de la Soulle d’où l’on en porte peu parce qu’elle en est plus éloignée».</w:t>
            </w:r>
            <w:proofErr w:type="gramEnd"/>
          </w:p>
          <w:p w:rsidR="0033237C" w:rsidRDefault="004B07C3">
            <w:pPr>
              <w:pStyle w:val="Normal1"/>
              <w:spacing w:after="280" w:afterAutospacing="1"/>
            </w:pPr>
            <w:r>
              <w:t>Au XVIII</w:t>
            </w:r>
            <w:r>
              <w:rPr>
                <w:vertAlign w:val="superscript"/>
              </w:rPr>
              <w:t xml:space="preserve">e </w:t>
            </w:r>
            <w:r>
              <w:t>siècle, le poète Piron disait plaisamment à l’évêque de Bayonne: «J’ai en grande vénération les jambons de votre diocèse</w:t>
            </w:r>
            <w:proofErr w:type="gramStart"/>
            <w:r>
              <w:t>.»</w:t>
            </w:r>
            <w:proofErr w:type="gramEnd"/>
          </w:p>
          <w:p w:rsidR="0033237C" w:rsidRDefault="004B07C3">
            <w:pPr>
              <w:pStyle w:val="Normal1"/>
              <w:spacing w:after="280" w:afterAutospacing="1"/>
            </w:pPr>
            <w:r>
              <w:t>Au début du XIX</w:t>
            </w:r>
            <w:r>
              <w:rPr>
                <w:vertAlign w:val="superscript"/>
              </w:rPr>
              <w:t xml:space="preserve">e </w:t>
            </w:r>
            <w:r>
              <w:t xml:space="preserve">siècle, le voyageur Jouy note dans l’Hermite en Province (1828) qu’«on fait à Pau un commerce considérable de jambons renommés sous le nom de jambon de Baïonne. C’est au village de Saleis qu’on les prépare. La source d’eau qui s’y trouve </w:t>
            </w:r>
            <w:r>
              <w:t>communique aux jambons un goût exquis</w:t>
            </w:r>
            <w:proofErr w:type="gramStart"/>
            <w:r>
              <w:t>.»</w:t>
            </w:r>
            <w:proofErr w:type="gramEnd"/>
          </w:p>
          <w:p w:rsidR="0033237C" w:rsidRDefault="004B07C3">
            <w:pPr>
              <w:pStyle w:val="Normal1"/>
              <w:spacing w:after="280" w:afterAutospacing="1"/>
            </w:pPr>
            <w:r>
              <w:rPr>
                <w:color w:val="000000"/>
              </w:rPr>
              <w:t>Enfin en 1991, Louis Laborde-Balen dans le livre d’or du jambon de Bayonne cite que «la légende situe l’origine du jambon de Bayonne au tout début de notre ère, lorsqu’un sanglier blessé par deux chasseurs est venu m</w:t>
            </w:r>
            <w:r>
              <w:rPr>
                <w:color w:val="000000"/>
              </w:rPr>
              <w:t>ourir près d’une source salée. L’été suivant, des villageois le découvrirent parfaitement conservé dans le lit asséché de la source, les plus hardis goûtèrent la viande et la trouvèrent bonne. Depuis, chaque hiver, la viande de porc et en particulier le ja</w:t>
            </w:r>
            <w:r>
              <w:rPr>
                <w:color w:val="000000"/>
              </w:rPr>
              <w:t>mbon, est conservé grâce au sel de Salies-de-Béarn ou d’une autre saline du Bassin de l’Adour</w:t>
            </w:r>
            <w:proofErr w:type="gramStart"/>
            <w:r>
              <w:rPr>
                <w:color w:val="000000"/>
              </w:rPr>
              <w:t>.»</w:t>
            </w:r>
            <w:proofErr w:type="gramEnd"/>
          </w:p>
          <w:p w:rsidR="39B093FC" w:rsidRPr="00DB50EE" w:rsidRDefault="004B07C3">
            <w:pPr>
              <w:pStyle w:val="Normal1"/>
              <w:spacing w:after="280" w:afterAutospacing="1"/>
            </w:pPr>
          </w:p>
        </w:tc>
      </w:tr>
    </w:tbl>
    <w:p w:rsidR="005F5947" w:rsidRPr="00132807" w:rsidRDefault="004B07C3" w:rsidP="0097257E">
      <w:pPr>
        <w:pStyle w:val="Normal1"/>
        <w:jc w:val="left"/>
        <w:rPr>
          <w:color w:val="000000"/>
        </w:rPr>
      </w:pPr>
      <w:r>
        <w:rPr>
          <w:rFonts w:ascii="inherit" w:hAnsi="inherit"/>
          <w:lang w:val="en-IE" w:eastAsia="en-IE"/>
        </w:rPr>
        <w:lastRenderedPageBreak/>
        <w:pict>
          <v:rect id="_x0000_i1026" style="width:101.5pt;height:1pt" o:hrpct="0" o:hrstd="t" o:hrnoshade="t" o:hr="t" fillcolor="black" stroked="f"/>
        </w:pict>
      </w:r>
    </w:p>
    <w:p w:rsidR="4E6EB726" w:rsidRPr="0097257E" w:rsidRDefault="004B07C3" w:rsidP="0097257E">
      <w:pPr>
        <w:pStyle w:val="Normal1"/>
        <w:jc w:val="left"/>
        <w:rPr>
          <w:b/>
          <w:bCs/>
        </w:rPr>
      </w:pPr>
      <w:r w:rsidRPr="0097257E">
        <w:rPr>
          <w:b/>
          <w:bCs/>
        </w:rPr>
        <w:t>Référence électronique (URL) à la publication du cahier des charges</w:t>
      </w:r>
    </w:p>
    <w:p w:rsidR="2840FFB6" w:rsidRDefault="004B07C3" w:rsidP="0097257E">
      <w:pPr>
        <w:pStyle w:val="Normal1"/>
        <w:jc w:val="left"/>
      </w:pPr>
    </w:p>
    <w:sectPr w:rsidR="2840FFB6" w:rsidSect="00A90228">
      <w:headerReference w:type="default" r:id="rId10"/>
      <w:footerReference w:type="default" r:id="rId11"/>
      <w:headerReference w:type="first" r:id="rId12"/>
      <w:footerReference w:type="first" r:id="rId13"/>
      <w:type w:val="continuous"/>
      <w:pgSz w:w="11906" w:h="16838"/>
      <w:pgMar w:top="1020" w:right="1701" w:bottom="1020" w:left="1587" w:header="850" w:footer="107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4B07C3">
      <w:pPr>
        <w:spacing w:after="0"/>
      </w:pPr>
      <w:r>
        <w:separator/>
      </w:r>
    </w:p>
  </w:endnote>
  <w:endnote w:type="continuationSeparator" w:id="0">
    <w:p w:rsidR="00000000" w:rsidRDefault="004B07C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inherit">
    <w:altName w:val="Cambria"/>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2529" w:rsidRDefault="004B07C3">
    <w:pPr>
      <w:pStyle w:val="Footer1"/>
      <w:jc w:val="center"/>
    </w:pPr>
  </w:p>
  <w:p w:rsidR="00472529" w:rsidRDefault="004B07C3" w:rsidP="1DDC2095">
    <w:pPr>
      <w:pStyle w:val="Footer1"/>
      <w:jc w:val="center"/>
      <w:rPr>
        <w:noProof/>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4B07C3" w:rsidP="2840FFB6">
    <w:pPr>
      <w:pStyle w:val="Footer1"/>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4B07C3">
      <w:pPr>
        <w:spacing w:after="0"/>
      </w:pPr>
      <w:r>
        <w:separator/>
      </w:r>
    </w:p>
  </w:footnote>
  <w:footnote w:type="continuationSeparator" w:id="0">
    <w:p w:rsidR="00000000" w:rsidRDefault="004B07C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4B07C3" w:rsidP="2840FFB6">
    <w:pPr>
      <w:pStyle w:val="Header1"/>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2840FFB6" w:rsidRDefault="004B07C3" w:rsidP="2840FFB6">
    <w:pPr>
      <w:pStyle w:val="Header1"/>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A58E78E"/>
    <w:lvl w:ilvl="0">
      <w:start w:val="1"/>
      <w:numFmt w:val="decimal"/>
      <w:pStyle w:val="Listenumros5"/>
      <w:lvlText w:val="%1."/>
      <w:lvlJc w:val="left"/>
      <w:pPr>
        <w:tabs>
          <w:tab w:val="num" w:pos="1492"/>
        </w:tabs>
        <w:ind w:left="1492" w:hanging="360"/>
      </w:pPr>
    </w:lvl>
  </w:abstractNum>
  <w:abstractNum w:abstractNumId="1" w15:restartNumberingAfterBreak="0">
    <w:nsid w:val="FFFFFF80"/>
    <w:multiLevelType w:val="singleLevel"/>
    <w:tmpl w:val="E7A64A6A"/>
    <w:lvl w:ilvl="0">
      <w:start w:val="1"/>
      <w:numFmt w:val="bullet"/>
      <w:pStyle w:val="Listepuces5"/>
      <w:lvlText w:val=""/>
      <w:lvlJc w:val="left"/>
      <w:pPr>
        <w:tabs>
          <w:tab w:val="num" w:pos="1492"/>
        </w:tabs>
        <w:ind w:left="1492" w:hanging="360"/>
      </w:pPr>
      <w:rPr>
        <w:rFonts w:ascii="Symbol" w:hAnsi="Symbol" w:hint="default"/>
      </w:rPr>
    </w:lvl>
  </w:abstractNum>
  <w:abstractNum w:abstractNumId="2" w15:restartNumberingAfterBreak="0">
    <w:nsid w:val="08DE61A8"/>
    <w:multiLevelType w:val="hybridMultilevel"/>
    <w:tmpl w:val="686A40CA"/>
    <w:name w:val="LegalNumParListTemplate3"/>
    <w:lvl w:ilvl="0" w:tplc="8F925A70">
      <w:start w:val="1"/>
      <w:numFmt w:val="decimal"/>
      <w:lvlText w:val="%1."/>
      <w:lvlJc w:val="left"/>
      <w:pPr>
        <w:tabs>
          <w:tab w:val="num" w:pos="476"/>
        </w:tabs>
        <w:ind w:left="476" w:hanging="476"/>
      </w:pPr>
    </w:lvl>
    <w:lvl w:ilvl="1" w:tplc="CCF20538" w:tentative="1">
      <w:start w:val="1"/>
      <w:numFmt w:val="lowerLetter"/>
      <w:lvlText w:val="%2."/>
      <w:lvlJc w:val="left"/>
      <w:pPr>
        <w:ind w:left="1440" w:hanging="360"/>
      </w:pPr>
    </w:lvl>
    <w:lvl w:ilvl="2" w:tplc="91BC5710" w:tentative="1">
      <w:start w:val="1"/>
      <w:numFmt w:val="lowerRoman"/>
      <w:lvlText w:val="%3."/>
      <w:lvlJc w:val="right"/>
      <w:pPr>
        <w:ind w:left="2160" w:hanging="180"/>
      </w:pPr>
    </w:lvl>
    <w:lvl w:ilvl="3" w:tplc="5F025236" w:tentative="1">
      <w:start w:val="1"/>
      <w:numFmt w:val="decimal"/>
      <w:lvlText w:val="%4."/>
      <w:lvlJc w:val="left"/>
      <w:pPr>
        <w:ind w:left="2880" w:hanging="360"/>
      </w:pPr>
    </w:lvl>
    <w:lvl w:ilvl="4" w:tplc="6B122BE0" w:tentative="1">
      <w:start w:val="1"/>
      <w:numFmt w:val="lowerLetter"/>
      <w:lvlText w:val="%5."/>
      <w:lvlJc w:val="left"/>
      <w:pPr>
        <w:ind w:left="3600" w:hanging="360"/>
      </w:pPr>
    </w:lvl>
    <w:lvl w:ilvl="5" w:tplc="8A123DD4" w:tentative="1">
      <w:start w:val="1"/>
      <w:numFmt w:val="lowerRoman"/>
      <w:lvlText w:val="%6."/>
      <w:lvlJc w:val="right"/>
      <w:pPr>
        <w:ind w:left="4320" w:hanging="180"/>
      </w:pPr>
    </w:lvl>
    <w:lvl w:ilvl="6" w:tplc="3D2E668A" w:tentative="1">
      <w:start w:val="1"/>
      <w:numFmt w:val="decimal"/>
      <w:lvlText w:val="%7."/>
      <w:lvlJc w:val="left"/>
      <w:pPr>
        <w:ind w:left="5040" w:hanging="360"/>
      </w:pPr>
    </w:lvl>
    <w:lvl w:ilvl="7" w:tplc="45C037CE" w:tentative="1">
      <w:start w:val="1"/>
      <w:numFmt w:val="lowerLetter"/>
      <w:lvlText w:val="%8."/>
      <w:lvlJc w:val="left"/>
      <w:pPr>
        <w:ind w:left="5760" w:hanging="360"/>
      </w:pPr>
    </w:lvl>
    <w:lvl w:ilvl="8" w:tplc="49FC9E14" w:tentative="1">
      <w:start w:val="1"/>
      <w:numFmt w:val="lowerRoman"/>
      <w:lvlText w:val="%9."/>
      <w:lvlJc w:val="right"/>
      <w:pPr>
        <w:ind w:left="6480" w:hanging="180"/>
      </w:pPr>
    </w:lvl>
  </w:abstractNum>
  <w:abstractNum w:abstractNumId="3" w15:restartNumberingAfterBreak="0">
    <w:nsid w:val="18175D5C"/>
    <w:multiLevelType w:val="hybridMultilevel"/>
    <w:tmpl w:val="9CEED8C8"/>
    <w:lvl w:ilvl="0" w:tplc="A29CAEF0">
      <w:start w:val="1"/>
      <w:numFmt w:val="bullet"/>
      <w:lvlText w:val="□"/>
      <w:lvlJc w:val="left"/>
      <w:pPr>
        <w:ind w:left="1080" w:hanging="360"/>
      </w:pPr>
      <w:rPr>
        <w:rFonts w:ascii="Courier New" w:hAnsi="Courier New" w:hint="default"/>
        <w:sz w:val="32"/>
        <w:szCs w:val="32"/>
      </w:rPr>
    </w:lvl>
    <w:lvl w:ilvl="1" w:tplc="E4542DCA" w:tentative="1">
      <w:start w:val="1"/>
      <w:numFmt w:val="bullet"/>
      <w:lvlText w:val="o"/>
      <w:lvlJc w:val="left"/>
      <w:pPr>
        <w:ind w:left="1320" w:hanging="360"/>
      </w:pPr>
      <w:rPr>
        <w:rFonts w:ascii="Courier New" w:hAnsi="Courier New" w:cs="Courier New" w:hint="default"/>
      </w:rPr>
    </w:lvl>
    <w:lvl w:ilvl="2" w:tplc="2E6E8CDC" w:tentative="1">
      <w:start w:val="1"/>
      <w:numFmt w:val="bullet"/>
      <w:lvlText w:val=""/>
      <w:lvlJc w:val="left"/>
      <w:pPr>
        <w:ind w:left="2040" w:hanging="360"/>
      </w:pPr>
      <w:rPr>
        <w:rFonts w:ascii="Wingdings" w:hAnsi="Wingdings" w:hint="default"/>
      </w:rPr>
    </w:lvl>
    <w:lvl w:ilvl="3" w:tplc="4F248756" w:tentative="1">
      <w:start w:val="1"/>
      <w:numFmt w:val="bullet"/>
      <w:lvlText w:val=""/>
      <w:lvlJc w:val="left"/>
      <w:pPr>
        <w:ind w:left="2760" w:hanging="360"/>
      </w:pPr>
      <w:rPr>
        <w:rFonts w:ascii="Symbol" w:hAnsi="Symbol" w:hint="default"/>
      </w:rPr>
    </w:lvl>
    <w:lvl w:ilvl="4" w:tplc="59C67C64" w:tentative="1">
      <w:start w:val="1"/>
      <w:numFmt w:val="bullet"/>
      <w:lvlText w:val="o"/>
      <w:lvlJc w:val="left"/>
      <w:pPr>
        <w:ind w:left="3480" w:hanging="360"/>
      </w:pPr>
      <w:rPr>
        <w:rFonts w:ascii="Courier New" w:hAnsi="Courier New" w:cs="Courier New" w:hint="default"/>
      </w:rPr>
    </w:lvl>
    <w:lvl w:ilvl="5" w:tplc="88E2D674" w:tentative="1">
      <w:start w:val="1"/>
      <w:numFmt w:val="bullet"/>
      <w:lvlText w:val=""/>
      <w:lvlJc w:val="left"/>
      <w:pPr>
        <w:ind w:left="4200" w:hanging="360"/>
      </w:pPr>
      <w:rPr>
        <w:rFonts w:ascii="Wingdings" w:hAnsi="Wingdings" w:hint="default"/>
      </w:rPr>
    </w:lvl>
    <w:lvl w:ilvl="6" w:tplc="D0C49AF6" w:tentative="1">
      <w:start w:val="1"/>
      <w:numFmt w:val="bullet"/>
      <w:lvlText w:val=""/>
      <w:lvlJc w:val="left"/>
      <w:pPr>
        <w:ind w:left="4920" w:hanging="360"/>
      </w:pPr>
      <w:rPr>
        <w:rFonts w:ascii="Symbol" w:hAnsi="Symbol" w:hint="default"/>
      </w:rPr>
    </w:lvl>
    <w:lvl w:ilvl="7" w:tplc="39C6DFA8" w:tentative="1">
      <w:start w:val="1"/>
      <w:numFmt w:val="bullet"/>
      <w:lvlText w:val="o"/>
      <w:lvlJc w:val="left"/>
      <w:pPr>
        <w:ind w:left="5640" w:hanging="360"/>
      </w:pPr>
      <w:rPr>
        <w:rFonts w:ascii="Courier New" w:hAnsi="Courier New" w:cs="Courier New" w:hint="default"/>
      </w:rPr>
    </w:lvl>
    <w:lvl w:ilvl="8" w:tplc="B7DC2948" w:tentative="1">
      <w:start w:val="1"/>
      <w:numFmt w:val="bullet"/>
      <w:lvlText w:val=""/>
      <w:lvlJc w:val="left"/>
      <w:pPr>
        <w:ind w:left="6360" w:hanging="360"/>
      </w:pPr>
      <w:rPr>
        <w:rFonts w:ascii="Wingdings" w:hAnsi="Wingdings" w:hint="default"/>
      </w:rPr>
    </w:lvl>
  </w:abstractNum>
  <w:abstractNum w:abstractNumId="4" w15:restartNumberingAfterBreak="0">
    <w:nsid w:val="1B1530A4"/>
    <w:multiLevelType w:val="multilevel"/>
    <w:tmpl w:val="8CE23BCC"/>
    <w:lvl w:ilvl="0">
      <w:start w:val="1"/>
      <w:numFmt w:val="decimal"/>
      <w:pStyle w:val="Listenumros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1F734306"/>
    <w:multiLevelType w:val="multilevel"/>
    <w:tmpl w:val="D5DE421E"/>
    <w:lvl w:ilvl="0">
      <w:start w:val="1"/>
      <w:numFmt w:val="decimal"/>
      <w:pStyle w:val="Titre1"/>
      <w:lvlText w:val="%1."/>
      <w:lvlJc w:val="left"/>
      <w:pPr>
        <w:tabs>
          <w:tab w:val="num" w:pos="480"/>
        </w:tabs>
        <w:ind w:left="480" w:hanging="480"/>
      </w:pPr>
    </w:lvl>
    <w:lvl w:ilvl="1">
      <w:start w:val="1"/>
      <w:numFmt w:val="decimal"/>
      <w:pStyle w:val="Titre2"/>
      <w:lvlText w:val="%1.%2."/>
      <w:lvlJc w:val="left"/>
      <w:pPr>
        <w:tabs>
          <w:tab w:val="num" w:pos="1200"/>
        </w:tabs>
        <w:ind w:left="1200" w:hanging="720"/>
      </w:pPr>
      <w:rPr>
        <w:i w:val="0"/>
        <w:iCs w:val="0"/>
      </w:rPr>
    </w:lvl>
    <w:lvl w:ilvl="2">
      <w:start w:val="1"/>
      <w:numFmt w:val="decimal"/>
      <w:pStyle w:val="Titre3"/>
      <w:lvlText w:val="%1.%2.%3."/>
      <w:lvlJc w:val="left"/>
      <w:pPr>
        <w:tabs>
          <w:tab w:val="num" w:pos="1920"/>
        </w:tabs>
        <w:ind w:left="1920" w:hanging="720"/>
      </w:pPr>
    </w:lvl>
    <w:lvl w:ilvl="3">
      <w:start w:val="1"/>
      <w:numFmt w:val="decimal"/>
      <w:pStyle w:val="Titre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22DD3599"/>
    <w:multiLevelType w:val="multilevel"/>
    <w:tmpl w:val="4EAA5BA6"/>
    <w:lvl w:ilvl="0">
      <w:start w:val="1"/>
      <w:numFmt w:val="decimal"/>
      <w:pStyle w:val="Listenumros"/>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8" w15:restartNumberingAfterBreak="0">
    <w:nsid w:val="2CAB4527"/>
    <w:multiLevelType w:val="multilevel"/>
    <w:tmpl w:val="26C24C12"/>
    <w:lvl w:ilvl="0">
      <w:start w:val="1"/>
      <w:numFmt w:val="decimal"/>
      <w:pStyle w:val="Listenumros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D293CE3"/>
    <w:multiLevelType w:val="multilevel"/>
    <w:tmpl w:val="8D7C4D2A"/>
    <w:lvl w:ilvl="0">
      <w:start w:val="1"/>
      <w:numFmt w:val="decimal"/>
      <w:pStyle w:val="LegalNumPar"/>
      <w:lvlText w:val="%1."/>
      <w:lvlJc w:val="left"/>
      <w:pPr>
        <w:ind w:left="476" w:hanging="476"/>
      </w:pPr>
      <w:rPr>
        <w:rFonts w:hint="default"/>
      </w:rPr>
    </w:lvl>
    <w:lvl w:ilvl="1">
      <w:start w:val="1"/>
      <w:numFmt w:val="lowerLetter"/>
      <w:pStyle w:val="LegalNumPar2"/>
      <w:lvlText w:val="%2."/>
      <w:lvlJc w:val="left"/>
      <w:pPr>
        <w:ind w:left="953" w:hanging="477"/>
      </w:pPr>
      <w:rPr>
        <w:rFonts w:hint="default"/>
      </w:rPr>
    </w:lvl>
    <w:lvl w:ilvl="2">
      <w:start w:val="1"/>
      <w:numFmt w:val="lowerRoman"/>
      <w:pStyle w:val="LegalNumPar3"/>
      <w:lvlText w:val="%3."/>
      <w:lvlJc w:val="left"/>
      <w:pPr>
        <w:ind w:left="1429" w:hanging="476"/>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0"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11"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AFB6DC8"/>
    <w:multiLevelType w:val="singleLevel"/>
    <w:tmpl w:val="D97CFDF8"/>
    <w:lvl w:ilvl="0">
      <w:start w:val="1"/>
      <w:numFmt w:val="bullet"/>
      <w:pStyle w:val="Listepuces2"/>
      <w:lvlText w:val=""/>
      <w:lvlJc w:val="left"/>
      <w:pPr>
        <w:tabs>
          <w:tab w:val="num" w:pos="1485"/>
        </w:tabs>
        <w:ind w:left="1485" w:hanging="283"/>
      </w:pPr>
      <w:rPr>
        <w:rFonts w:ascii="Symbol" w:hAnsi="Symbol"/>
      </w:rPr>
    </w:lvl>
  </w:abstractNum>
  <w:abstractNum w:abstractNumId="13" w15:restartNumberingAfterBreak="0">
    <w:nsid w:val="3CF00E18"/>
    <w:multiLevelType w:val="singleLevel"/>
    <w:tmpl w:val="4E1A982C"/>
    <w:lvl w:ilvl="0">
      <w:start w:val="1"/>
      <w:numFmt w:val="bullet"/>
      <w:pStyle w:val="Listepuces"/>
      <w:lvlText w:val=""/>
      <w:lvlJc w:val="left"/>
      <w:pPr>
        <w:tabs>
          <w:tab w:val="num" w:pos="283"/>
        </w:tabs>
        <w:ind w:left="283" w:hanging="283"/>
      </w:pPr>
      <w:rPr>
        <w:rFonts w:ascii="Symbol" w:hAnsi="Symbol"/>
      </w:rPr>
    </w:lvl>
  </w:abstractNum>
  <w:abstractNum w:abstractNumId="14"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5" w15:restartNumberingAfterBreak="0">
    <w:nsid w:val="48836E44"/>
    <w:multiLevelType w:val="multilevel"/>
    <w:tmpl w:val="BE4C256A"/>
    <w:lvl w:ilvl="0">
      <w:start w:val="1"/>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7"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8"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9" w15:restartNumberingAfterBreak="0">
    <w:nsid w:val="620F2440"/>
    <w:multiLevelType w:val="singleLevel"/>
    <w:tmpl w:val="6860A420"/>
    <w:lvl w:ilvl="0">
      <w:start w:val="1"/>
      <w:numFmt w:val="bullet"/>
      <w:pStyle w:val="Listepuces3"/>
      <w:lvlText w:val=""/>
      <w:lvlJc w:val="left"/>
      <w:pPr>
        <w:tabs>
          <w:tab w:val="num" w:pos="1485"/>
        </w:tabs>
        <w:ind w:left="1485" w:hanging="283"/>
      </w:pPr>
      <w:rPr>
        <w:rFonts w:ascii="Symbol" w:hAnsi="Symbol"/>
      </w:rPr>
    </w:lvl>
  </w:abstractNum>
  <w:abstractNum w:abstractNumId="20" w15:restartNumberingAfterBreak="0">
    <w:nsid w:val="6908A257"/>
    <w:multiLevelType w:val="multilevel"/>
    <w:tmpl w:val="D4823730"/>
    <w:lvl w:ilvl="0">
      <w:start w:val="3"/>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6DF118C0"/>
    <w:multiLevelType w:val="singleLevel"/>
    <w:tmpl w:val="B90C8B88"/>
    <w:lvl w:ilvl="0">
      <w:start w:val="1"/>
      <w:numFmt w:val="bullet"/>
      <w:pStyle w:val="Listepuces4"/>
      <w:lvlText w:val=""/>
      <w:lvlJc w:val="left"/>
      <w:pPr>
        <w:tabs>
          <w:tab w:val="num" w:pos="1485"/>
        </w:tabs>
        <w:ind w:left="1485" w:hanging="283"/>
      </w:pPr>
      <w:rPr>
        <w:rFonts w:ascii="Symbol" w:hAnsi="Symbol"/>
      </w:rPr>
    </w:lvl>
  </w:abstractNum>
  <w:abstractNum w:abstractNumId="22" w15:restartNumberingAfterBreak="0">
    <w:nsid w:val="722304D7"/>
    <w:multiLevelType w:val="multilevel"/>
    <w:tmpl w:val="9DE2758E"/>
    <w:lvl w:ilvl="0">
      <w:start w:val="1"/>
      <w:numFmt w:val="decimal"/>
      <w:pStyle w:val="Listenumros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7C6B63E6"/>
    <w:multiLevelType w:val="singleLevel"/>
    <w:tmpl w:val="0292EEF0"/>
    <w:name w:val="LegalNumParListTemplate"/>
    <w:lvl w:ilvl="0">
      <w:start w:val="1"/>
      <w:numFmt w:val="decimal"/>
      <w:lvlText w:val="%1."/>
      <w:lvlJc w:val="left"/>
      <w:pPr>
        <w:tabs>
          <w:tab w:val="num" w:pos="476"/>
        </w:tabs>
        <w:ind w:left="476" w:hanging="476"/>
      </w:pPr>
    </w:lvl>
  </w:abstractNum>
  <w:abstractNum w:abstractNumId="24" w15:restartNumberingAfterBreak="0">
    <w:nsid w:val="7C6B63E7"/>
    <w:multiLevelType w:val="hybridMultilevel"/>
    <w:tmpl w:val="7C6B63E7"/>
    <w:lvl w:ilvl="0" w:tplc="51B290D2">
      <w:start w:val="1"/>
      <w:numFmt w:val="bullet"/>
      <w:lvlText w:val=""/>
      <w:lvlJc w:val="left"/>
      <w:pPr>
        <w:tabs>
          <w:tab w:val="num" w:pos="720"/>
        </w:tabs>
        <w:ind w:left="720" w:hanging="360"/>
      </w:pPr>
      <w:rPr>
        <w:rFonts w:ascii="Symbol" w:hAnsi="Symbol"/>
      </w:rPr>
    </w:lvl>
    <w:lvl w:ilvl="1" w:tplc="57EAFDCC">
      <w:start w:val="1"/>
      <w:numFmt w:val="bullet"/>
      <w:lvlText w:val="o"/>
      <w:lvlJc w:val="left"/>
      <w:pPr>
        <w:tabs>
          <w:tab w:val="num" w:pos="1440"/>
        </w:tabs>
        <w:ind w:left="1440" w:hanging="360"/>
      </w:pPr>
      <w:rPr>
        <w:rFonts w:ascii="Courier New" w:hAnsi="Courier New"/>
      </w:rPr>
    </w:lvl>
    <w:lvl w:ilvl="2" w:tplc="028056BE">
      <w:start w:val="1"/>
      <w:numFmt w:val="bullet"/>
      <w:lvlText w:val=""/>
      <w:lvlJc w:val="left"/>
      <w:pPr>
        <w:tabs>
          <w:tab w:val="num" w:pos="2160"/>
        </w:tabs>
        <w:ind w:left="2160" w:hanging="360"/>
      </w:pPr>
      <w:rPr>
        <w:rFonts w:ascii="Wingdings" w:hAnsi="Wingdings"/>
      </w:rPr>
    </w:lvl>
    <w:lvl w:ilvl="3" w:tplc="096E1B68">
      <w:start w:val="1"/>
      <w:numFmt w:val="bullet"/>
      <w:lvlText w:val=""/>
      <w:lvlJc w:val="left"/>
      <w:pPr>
        <w:tabs>
          <w:tab w:val="num" w:pos="2880"/>
        </w:tabs>
        <w:ind w:left="2880" w:hanging="360"/>
      </w:pPr>
      <w:rPr>
        <w:rFonts w:ascii="Symbol" w:hAnsi="Symbol"/>
      </w:rPr>
    </w:lvl>
    <w:lvl w:ilvl="4" w:tplc="CF5CB238">
      <w:start w:val="1"/>
      <w:numFmt w:val="bullet"/>
      <w:lvlText w:val="o"/>
      <w:lvlJc w:val="left"/>
      <w:pPr>
        <w:tabs>
          <w:tab w:val="num" w:pos="3600"/>
        </w:tabs>
        <w:ind w:left="3600" w:hanging="360"/>
      </w:pPr>
      <w:rPr>
        <w:rFonts w:ascii="Courier New" w:hAnsi="Courier New"/>
      </w:rPr>
    </w:lvl>
    <w:lvl w:ilvl="5" w:tplc="9DFC50BA">
      <w:start w:val="1"/>
      <w:numFmt w:val="bullet"/>
      <w:lvlText w:val=""/>
      <w:lvlJc w:val="left"/>
      <w:pPr>
        <w:tabs>
          <w:tab w:val="num" w:pos="4320"/>
        </w:tabs>
        <w:ind w:left="4320" w:hanging="360"/>
      </w:pPr>
      <w:rPr>
        <w:rFonts w:ascii="Wingdings" w:hAnsi="Wingdings"/>
      </w:rPr>
    </w:lvl>
    <w:lvl w:ilvl="6" w:tplc="66CE86B2">
      <w:start w:val="1"/>
      <w:numFmt w:val="bullet"/>
      <w:lvlText w:val=""/>
      <w:lvlJc w:val="left"/>
      <w:pPr>
        <w:tabs>
          <w:tab w:val="num" w:pos="5040"/>
        </w:tabs>
        <w:ind w:left="5040" w:hanging="360"/>
      </w:pPr>
      <w:rPr>
        <w:rFonts w:ascii="Symbol" w:hAnsi="Symbol"/>
      </w:rPr>
    </w:lvl>
    <w:lvl w:ilvl="7" w:tplc="E6BE8596">
      <w:start w:val="1"/>
      <w:numFmt w:val="bullet"/>
      <w:lvlText w:val="o"/>
      <w:lvlJc w:val="left"/>
      <w:pPr>
        <w:tabs>
          <w:tab w:val="num" w:pos="5760"/>
        </w:tabs>
        <w:ind w:left="5760" w:hanging="360"/>
      </w:pPr>
      <w:rPr>
        <w:rFonts w:ascii="Courier New" w:hAnsi="Courier New"/>
      </w:rPr>
    </w:lvl>
    <w:lvl w:ilvl="8" w:tplc="2A345D4E">
      <w:start w:val="1"/>
      <w:numFmt w:val="bullet"/>
      <w:lvlText w:val=""/>
      <w:lvlJc w:val="left"/>
      <w:pPr>
        <w:tabs>
          <w:tab w:val="num" w:pos="6480"/>
        </w:tabs>
        <w:ind w:left="6480" w:hanging="360"/>
      </w:pPr>
      <w:rPr>
        <w:rFonts w:ascii="Wingdings" w:hAnsi="Wingdings"/>
      </w:rPr>
    </w:lvl>
  </w:abstractNum>
  <w:abstractNum w:abstractNumId="25" w15:restartNumberingAfterBreak="0">
    <w:nsid w:val="7F075154"/>
    <w:multiLevelType w:val="multilevel"/>
    <w:tmpl w:val="D72081BE"/>
    <w:lvl w:ilvl="0">
      <w:start w:val="2"/>
      <w:numFmt w:val="decimal"/>
      <w:lvlText w:val="%1."/>
      <w:lvlJc w:val="left"/>
      <w:pPr>
        <w:ind w:left="480" w:hanging="48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6" w15:restartNumberingAfterBreak="0">
    <w:nsid w:val="7F075155"/>
    <w:multiLevelType w:val="multilevel"/>
    <w:tmpl w:val="D5DE421E"/>
    <w:lvl w:ilvl="0">
      <w:start w:val="1"/>
      <w:numFmt w:val="decimal"/>
      <w:pStyle w:val="Heading10"/>
      <w:lvlText w:val="%1."/>
      <w:lvlJc w:val="left"/>
      <w:pPr>
        <w:tabs>
          <w:tab w:val="num" w:pos="480"/>
        </w:tabs>
        <w:ind w:left="480" w:hanging="480"/>
      </w:pPr>
    </w:lvl>
    <w:lvl w:ilvl="1">
      <w:start w:val="1"/>
      <w:numFmt w:val="decimal"/>
      <w:pStyle w:val="Heading20"/>
      <w:lvlText w:val="%1.%2."/>
      <w:lvlJc w:val="left"/>
      <w:pPr>
        <w:tabs>
          <w:tab w:val="num" w:pos="1200"/>
        </w:tabs>
        <w:ind w:left="1200" w:hanging="720"/>
      </w:pPr>
      <w:rPr>
        <w:i w:val="0"/>
        <w:iCs w:val="0"/>
      </w:rPr>
    </w:lvl>
    <w:lvl w:ilvl="2">
      <w:start w:val="1"/>
      <w:numFmt w:val="decimal"/>
      <w:pStyle w:val="Heading30"/>
      <w:lvlText w:val="%1.%2.%3."/>
      <w:lvlJc w:val="left"/>
      <w:pPr>
        <w:tabs>
          <w:tab w:val="num" w:pos="1920"/>
        </w:tabs>
        <w:ind w:left="1920" w:hanging="720"/>
      </w:pPr>
    </w:lvl>
    <w:lvl w:ilvl="3">
      <w:start w:val="1"/>
      <w:numFmt w:val="decimal"/>
      <w:pStyle w:val="Heading40"/>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7" w15:restartNumberingAfterBreak="0">
    <w:nsid w:val="7F075156"/>
    <w:multiLevelType w:val="multilevel"/>
    <w:tmpl w:val="D5DE421E"/>
    <w:lvl w:ilvl="0">
      <w:start w:val="1"/>
      <w:numFmt w:val="decimal"/>
      <w:pStyle w:val="Heading11"/>
      <w:lvlText w:val="%1."/>
      <w:lvlJc w:val="left"/>
      <w:pPr>
        <w:tabs>
          <w:tab w:val="num" w:pos="480"/>
        </w:tabs>
        <w:ind w:left="480" w:hanging="480"/>
      </w:pPr>
    </w:lvl>
    <w:lvl w:ilvl="1">
      <w:start w:val="1"/>
      <w:numFmt w:val="decimal"/>
      <w:pStyle w:val="Heading21"/>
      <w:lvlText w:val="%1.%2."/>
      <w:lvlJc w:val="left"/>
      <w:pPr>
        <w:tabs>
          <w:tab w:val="num" w:pos="1200"/>
        </w:tabs>
        <w:ind w:left="1200" w:hanging="720"/>
      </w:pPr>
      <w:rPr>
        <w:i w:val="0"/>
        <w:iCs w:val="0"/>
      </w:rPr>
    </w:lvl>
    <w:lvl w:ilvl="2">
      <w:start w:val="1"/>
      <w:numFmt w:val="decimal"/>
      <w:pStyle w:val="Heading31"/>
      <w:lvlText w:val="%1.%2.%3."/>
      <w:lvlJc w:val="left"/>
      <w:pPr>
        <w:tabs>
          <w:tab w:val="num" w:pos="1920"/>
        </w:tabs>
        <w:ind w:left="1920" w:hanging="720"/>
      </w:pPr>
    </w:lvl>
    <w:lvl w:ilvl="3">
      <w:start w:val="1"/>
      <w:numFmt w:val="decimal"/>
      <w:pStyle w:val="Heading41"/>
      <w:lvlText w:val="%1.%2.%3.%4."/>
      <w:lvlJc w:val="left"/>
      <w:pPr>
        <w:tabs>
          <w:tab w:val="num" w:pos="1920"/>
        </w:tabs>
        <w:ind w:left="1920" w:hanging="720"/>
      </w:pPr>
    </w:lvl>
    <w:lvl w:ilvl="4">
      <w:start w:val="1"/>
      <w:numFmt w:val="decimal"/>
      <w:lvlText w:val="%1.%2.%3.%4.%5."/>
      <w:lvlJc w:val="left"/>
      <w:pPr>
        <w:tabs>
          <w:tab w:val="num" w:pos="1800"/>
        </w:tabs>
        <w:ind w:left="1800" w:hanging="360"/>
      </w:pPr>
    </w:lvl>
    <w:lvl w:ilvl="5">
      <w:start w:val="1"/>
      <w:numFmt w:val="decimal"/>
      <w:lvlText w:val="%1.%2.%3.%4.%5.%6."/>
      <w:lvlJc w:val="left"/>
      <w:pPr>
        <w:tabs>
          <w:tab w:val="num" w:pos="2160"/>
        </w:tabs>
        <w:ind w:left="2160" w:hanging="360"/>
      </w:pPr>
    </w:lvl>
    <w:lvl w:ilvl="6">
      <w:start w:val="1"/>
      <w:numFmt w:val="decimal"/>
      <w:lvlText w:val="%1.%2.%3.%4.%5.%6.%7."/>
      <w:lvlJc w:val="left"/>
      <w:pPr>
        <w:tabs>
          <w:tab w:val="num" w:pos="2520"/>
        </w:tabs>
        <w:ind w:left="2520" w:hanging="360"/>
      </w:pPr>
    </w:lvl>
    <w:lvl w:ilvl="7">
      <w:start w:val="1"/>
      <w:numFmt w:val="decimal"/>
      <w:lvlText w:val="%1.%2.%3.%4.%5.%6.%7.%8."/>
      <w:lvlJc w:val="left"/>
      <w:pPr>
        <w:tabs>
          <w:tab w:val="num" w:pos="2880"/>
        </w:tabs>
        <w:ind w:left="2880" w:hanging="360"/>
      </w:pPr>
    </w:lvl>
    <w:lvl w:ilvl="8">
      <w:start w:val="1"/>
      <w:numFmt w:val="decimal"/>
      <w:lvlText w:val="%1.%2.%3.%4.%5.%6.%7.%8.%9."/>
      <w:lvlJc w:val="left"/>
      <w:pPr>
        <w:tabs>
          <w:tab w:val="num" w:pos="3240"/>
        </w:tabs>
        <w:ind w:left="3240" w:hanging="360"/>
      </w:pPr>
    </w:lvl>
  </w:abstractNum>
  <w:num w:numId="1">
    <w:abstractNumId w:val="20"/>
  </w:num>
  <w:num w:numId="2">
    <w:abstractNumId w:val="25"/>
  </w:num>
  <w:num w:numId="3">
    <w:abstractNumId w:val="15"/>
  </w:num>
  <w:num w:numId="4">
    <w:abstractNumId w:val="1"/>
  </w:num>
  <w:num w:numId="5">
    <w:abstractNumId w:val="0"/>
  </w:num>
  <w:num w:numId="6">
    <w:abstractNumId w:val="5"/>
  </w:num>
  <w:num w:numId="7">
    <w:abstractNumId w:val="13"/>
  </w:num>
  <w:num w:numId="8">
    <w:abstractNumId w:val="7"/>
  </w:num>
  <w:num w:numId="9">
    <w:abstractNumId w:val="12"/>
  </w:num>
  <w:num w:numId="10">
    <w:abstractNumId w:val="19"/>
  </w:num>
  <w:num w:numId="11">
    <w:abstractNumId w:val="21"/>
  </w:num>
  <w:num w:numId="12">
    <w:abstractNumId w:val="10"/>
  </w:num>
  <w:num w:numId="13">
    <w:abstractNumId w:val="18"/>
  </w:num>
  <w:num w:numId="14">
    <w:abstractNumId w:val="17"/>
  </w:num>
  <w:num w:numId="15">
    <w:abstractNumId w:val="14"/>
  </w:num>
  <w:num w:numId="16">
    <w:abstractNumId w:val="16"/>
  </w:num>
  <w:num w:numId="17">
    <w:abstractNumId w:val="6"/>
  </w:num>
  <w:num w:numId="18">
    <w:abstractNumId w:val="11"/>
  </w:num>
  <w:num w:numId="19">
    <w:abstractNumId w:val="4"/>
  </w:num>
  <w:num w:numId="20">
    <w:abstractNumId w:val="8"/>
  </w:num>
  <w:num w:numId="21">
    <w:abstractNumId w:val="22"/>
  </w:num>
  <w:num w:numId="22">
    <w:abstractNumId w:val="9"/>
  </w:num>
  <w:num w:numId="23">
    <w:abstractNumId w:val="23"/>
  </w:num>
  <w:num w:numId="24">
    <w:abstractNumId w:val="2"/>
  </w:num>
  <w:num w:numId="25">
    <w:abstractNumId w:val="9"/>
  </w:num>
  <w:num w:numId="26">
    <w:abstractNumId w:val="9"/>
  </w:num>
  <w:num w:numId="27">
    <w:abstractNumId w:val="9"/>
  </w:num>
  <w:num w:numId="28">
    <w:abstractNumId w:val="9"/>
  </w:num>
  <w:num w:numId="29">
    <w:abstractNumId w:val="9"/>
  </w:num>
  <w:num w:numId="30">
    <w:abstractNumId w:val="9"/>
  </w:num>
  <w:num w:numId="31">
    <w:abstractNumId w:val="24"/>
  </w:num>
  <w:num w:numId="32">
    <w:abstractNumId w:val="3"/>
  </w:num>
  <w:num w:numId="33">
    <w:abstractNumId w:val="26"/>
  </w:num>
  <w:num w:numId="34">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33237C"/>
    <w:rsid w:val="0033237C"/>
    <w:rsid w:val="004B07C3"/>
    <w:rsid w:val="00BA7AD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4:docId w14:val="74BEA8BC"/>
  <w15:docId w15:val="{87D7785E-410A-4A8E-831A-3E1663837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al">
    <w:name w:val="Normal"/>
    <w:qFormat/>
    <w:pPr>
      <w:spacing w:after="240"/>
      <w:jc w:val="both"/>
    </w:pPr>
    <w:rPr>
      <w:sz w:val="24"/>
      <w:lang w:eastAsia="en-US"/>
    </w:rPr>
  </w:style>
  <w:style w:type="paragraph" w:styleId="Titre1">
    <w:name w:val="heading 1"/>
    <w:basedOn w:val="Normal"/>
    <w:next w:val="Text1"/>
    <w:qFormat/>
    <w:rsid w:val="002416FE"/>
    <w:pPr>
      <w:keepNext/>
      <w:numPr>
        <w:numId w:val="6"/>
      </w:numPr>
      <w:spacing w:before="240"/>
      <w:outlineLvl w:val="0"/>
    </w:pPr>
    <w:rPr>
      <w:b/>
    </w:rPr>
  </w:style>
  <w:style w:type="paragraph" w:styleId="Titre2">
    <w:name w:val="heading 2"/>
    <w:basedOn w:val="Normal"/>
    <w:next w:val="Text2"/>
    <w:qFormat/>
    <w:pPr>
      <w:keepNext/>
      <w:numPr>
        <w:ilvl w:val="1"/>
        <w:numId w:val="6"/>
      </w:numPr>
      <w:outlineLvl w:val="1"/>
    </w:pPr>
    <w:rPr>
      <w:b/>
    </w:rPr>
  </w:style>
  <w:style w:type="paragraph" w:styleId="Titre3">
    <w:name w:val="heading 3"/>
    <w:basedOn w:val="Normal"/>
    <w:next w:val="Text3"/>
    <w:qFormat/>
    <w:pPr>
      <w:keepNext/>
      <w:numPr>
        <w:ilvl w:val="2"/>
        <w:numId w:val="6"/>
      </w:numPr>
      <w:outlineLvl w:val="2"/>
    </w:pPr>
    <w:rPr>
      <w:i/>
    </w:rPr>
  </w:style>
  <w:style w:type="paragraph" w:styleId="Titre4">
    <w:name w:val="heading 4"/>
    <w:basedOn w:val="Normal"/>
    <w:next w:val="Text4"/>
    <w:qFormat/>
    <w:pPr>
      <w:keepNext/>
      <w:numPr>
        <w:ilvl w:val="3"/>
        <w:numId w:val="6"/>
      </w:numPr>
      <w:outlineLvl w:val="3"/>
    </w:pPr>
  </w:style>
  <w:style w:type="paragraph" w:styleId="Titre5">
    <w:name w:val="heading 5"/>
    <w:basedOn w:val="Normal"/>
    <w:next w:val="Normal"/>
    <w:qFormat/>
    <w:pPr>
      <w:tabs>
        <w:tab w:val="num" w:pos="0"/>
      </w:tabs>
      <w:spacing w:before="240" w:after="60"/>
      <w:outlineLvl w:val="4"/>
    </w:pPr>
    <w:rPr>
      <w:rFonts w:ascii="Arial" w:hAnsi="Arial"/>
      <w:sz w:val="22"/>
    </w:rPr>
  </w:style>
  <w:style w:type="paragraph" w:styleId="Titre6">
    <w:name w:val="heading 6"/>
    <w:basedOn w:val="Normal"/>
    <w:next w:val="Normal"/>
    <w:qFormat/>
    <w:pPr>
      <w:tabs>
        <w:tab w:val="num" w:pos="0"/>
      </w:tabs>
      <w:spacing w:before="240" w:after="60"/>
      <w:outlineLvl w:val="5"/>
    </w:pPr>
    <w:rPr>
      <w:rFonts w:ascii="Arial" w:hAnsi="Arial"/>
      <w:i/>
      <w:sz w:val="22"/>
    </w:rPr>
  </w:style>
  <w:style w:type="paragraph" w:styleId="Titre7">
    <w:name w:val="heading 7"/>
    <w:basedOn w:val="Normal"/>
    <w:next w:val="Normal"/>
    <w:qFormat/>
    <w:pPr>
      <w:tabs>
        <w:tab w:val="num" w:pos="0"/>
      </w:tabs>
      <w:spacing w:before="240" w:after="60"/>
      <w:outlineLvl w:val="6"/>
    </w:pPr>
    <w:rPr>
      <w:rFonts w:ascii="Arial" w:hAnsi="Arial"/>
      <w:sz w:val="20"/>
    </w:rPr>
  </w:style>
  <w:style w:type="paragraph" w:styleId="Titre8">
    <w:name w:val="heading 8"/>
    <w:basedOn w:val="Normal"/>
    <w:next w:val="Normal"/>
    <w:qFormat/>
    <w:pPr>
      <w:tabs>
        <w:tab w:val="num" w:pos="0"/>
      </w:tabs>
      <w:spacing w:before="240" w:after="60"/>
      <w:outlineLvl w:val="7"/>
    </w:pPr>
    <w:rPr>
      <w:rFonts w:ascii="Arial" w:hAnsi="Arial"/>
      <w:i/>
      <w:sz w:val="20"/>
    </w:rPr>
  </w:style>
  <w:style w:type="paragraph" w:styleId="Titre9">
    <w:name w:val="heading 9"/>
    <w:basedOn w:val="Normal"/>
    <w:next w:val="Normal"/>
    <w:qFormat/>
    <w:pPr>
      <w:tabs>
        <w:tab w:val="num" w:pos="0"/>
      </w:tabs>
      <w:spacing w:before="240" w:after="60"/>
      <w:outlineLvl w:val="8"/>
    </w:pPr>
    <w:rPr>
      <w:rFonts w:ascii="Arial" w:hAnsi="Arial"/>
      <w:i/>
      <w:sz w:val="1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Text1">
    <w:name w:val="Text 1"/>
    <w:basedOn w:val="Normal"/>
    <w:pPr>
      <w:ind w:left="482"/>
    </w:pPr>
  </w:style>
  <w:style w:type="paragraph" w:customStyle="1" w:styleId="Text2">
    <w:name w:val="Text 2"/>
    <w:basedOn w:val="Normal"/>
    <w:pPr>
      <w:tabs>
        <w:tab w:val="left" w:pos="2302"/>
      </w:tabs>
      <w:ind w:left="1202"/>
    </w:pPr>
  </w:style>
  <w:style w:type="paragraph" w:customStyle="1" w:styleId="Text3">
    <w:name w:val="Text 3"/>
    <w:basedOn w:val="Normal"/>
    <w:pPr>
      <w:tabs>
        <w:tab w:val="left" w:pos="2302"/>
      </w:tabs>
      <w:ind w:left="1202"/>
    </w:pPr>
  </w:style>
  <w:style w:type="paragraph" w:customStyle="1" w:styleId="Text4">
    <w:name w:val="Text 4"/>
    <w:basedOn w:val="Normal"/>
    <w:pPr>
      <w:tabs>
        <w:tab w:val="left" w:pos="2302"/>
      </w:tabs>
      <w:ind w:left="1202"/>
    </w:pPr>
  </w:style>
  <w:style w:type="paragraph" w:customStyle="1" w:styleId="Address">
    <w:name w:val="Address"/>
    <w:basedOn w:val="Normal"/>
    <w:pPr>
      <w:spacing w:after="0"/>
      <w:jc w:val="left"/>
    </w:pPr>
  </w:style>
  <w:style w:type="paragraph" w:customStyle="1" w:styleId="AddressTL">
    <w:name w:val="AddressTL"/>
    <w:basedOn w:val="Normal"/>
    <w:next w:val="Normal"/>
    <w:pPr>
      <w:spacing w:after="720"/>
      <w:jc w:val="left"/>
    </w:pPr>
  </w:style>
  <w:style w:type="paragraph" w:customStyle="1" w:styleId="AddressTR">
    <w:name w:val="AddressTR"/>
    <w:basedOn w:val="Normal"/>
    <w:next w:val="Normal"/>
    <w:pPr>
      <w:spacing w:after="720"/>
      <w:ind w:left="5103"/>
      <w:jc w:val="left"/>
    </w:pPr>
  </w:style>
  <w:style w:type="paragraph" w:styleId="Normalcentr">
    <w:name w:val="Block Text"/>
    <w:basedOn w:val="Normal"/>
    <w:pPr>
      <w:spacing w:after="120"/>
      <w:ind w:left="1440" w:right="1440"/>
    </w:pPr>
  </w:style>
  <w:style w:type="paragraph" w:styleId="Corpsdetexte">
    <w:name w:val="Body Text"/>
    <w:basedOn w:val="Normal"/>
    <w:pPr>
      <w:spacing w:after="120"/>
    </w:pPr>
  </w:style>
  <w:style w:type="paragraph" w:styleId="Corpsdetexte2">
    <w:name w:val="Body Text 2"/>
    <w:basedOn w:val="Normal"/>
    <w:pPr>
      <w:spacing w:after="120" w:line="480" w:lineRule="auto"/>
    </w:pPr>
  </w:style>
  <w:style w:type="paragraph" w:styleId="Corpsdetexte3">
    <w:name w:val="Body Text 3"/>
    <w:basedOn w:val="Normal"/>
    <w:pPr>
      <w:spacing w:after="120"/>
    </w:pPr>
    <w:rPr>
      <w:sz w:val="16"/>
    </w:rPr>
  </w:style>
  <w:style w:type="paragraph" w:styleId="Retrait1religne">
    <w:name w:val="Body Text First Indent"/>
    <w:basedOn w:val="Corpsdetexte"/>
    <w:pPr>
      <w:ind w:firstLine="210"/>
    </w:pPr>
  </w:style>
  <w:style w:type="paragraph" w:styleId="Retraitcorpsdetexte">
    <w:name w:val="Body Text Indent"/>
    <w:basedOn w:val="Normal"/>
    <w:pPr>
      <w:spacing w:after="120"/>
      <w:ind w:left="283"/>
    </w:pPr>
  </w:style>
  <w:style w:type="paragraph" w:styleId="Retraitcorpset1relig">
    <w:name w:val="Body Text First Indent 2"/>
    <w:basedOn w:val="Retraitcorpsdetexte"/>
    <w:pPr>
      <w:ind w:firstLine="210"/>
    </w:pPr>
  </w:style>
  <w:style w:type="paragraph" w:styleId="Retraitcorpsdetexte2">
    <w:name w:val="Body Text Indent 2"/>
    <w:basedOn w:val="Normal"/>
    <w:pPr>
      <w:spacing w:after="120" w:line="480" w:lineRule="auto"/>
      <w:ind w:left="283"/>
    </w:pPr>
  </w:style>
  <w:style w:type="paragraph" w:styleId="Retraitcorpsdetexte3">
    <w:name w:val="Body Text Indent 3"/>
    <w:basedOn w:val="Normal"/>
    <w:pPr>
      <w:spacing w:after="120"/>
      <w:ind w:left="283"/>
    </w:pPr>
    <w:rPr>
      <w:sz w:val="16"/>
    </w:rPr>
  </w:style>
  <w:style w:type="paragraph" w:styleId="Lgende">
    <w:name w:val="caption"/>
    <w:basedOn w:val="Normal"/>
    <w:next w:val="Normal"/>
    <w:qFormat/>
    <w:pPr>
      <w:spacing w:before="120" w:after="120"/>
    </w:pPr>
    <w:rPr>
      <w:b/>
    </w:rPr>
  </w:style>
  <w:style w:type="paragraph" w:customStyle="1" w:styleId="ChapterTitle">
    <w:name w:val="ChapterTitle"/>
    <w:basedOn w:val="Normal"/>
    <w:next w:val="SectionTitle"/>
    <w:pPr>
      <w:keepNext/>
      <w:spacing w:after="480"/>
      <w:jc w:val="center"/>
    </w:pPr>
    <w:rPr>
      <w:b/>
      <w:sz w:val="32"/>
    </w:rPr>
  </w:style>
  <w:style w:type="paragraph" w:customStyle="1" w:styleId="SectionTitle">
    <w:name w:val="SectionTitle"/>
    <w:basedOn w:val="Normal"/>
    <w:next w:val="Titre1"/>
    <w:pPr>
      <w:keepNext/>
      <w:spacing w:after="480"/>
      <w:jc w:val="center"/>
    </w:pPr>
    <w:rPr>
      <w:b/>
      <w:smallCaps/>
      <w:sz w:val="28"/>
    </w:rPr>
  </w:style>
  <w:style w:type="paragraph" w:styleId="Formuledepolitesse">
    <w:name w:val="Closing"/>
    <w:basedOn w:val="Normal"/>
    <w:pPr>
      <w:ind w:left="4252"/>
    </w:pPr>
  </w:style>
  <w:style w:type="paragraph" w:styleId="Commentaire">
    <w:name w:val="annotation text"/>
    <w:basedOn w:val="Normal"/>
    <w:link w:val="CommentaireCar"/>
    <w:semiHidden/>
    <w:rPr>
      <w:sz w:val="20"/>
    </w:rPr>
  </w:style>
  <w:style w:type="paragraph" w:styleId="Date">
    <w:name w:val="Date"/>
    <w:basedOn w:val="Normal"/>
    <w:next w:val="References"/>
    <w:pPr>
      <w:spacing w:after="0"/>
      <w:ind w:left="5103" w:right="-567"/>
      <w:jc w:val="left"/>
    </w:pPr>
  </w:style>
  <w:style w:type="paragraph" w:customStyle="1" w:styleId="References">
    <w:name w:val="References"/>
    <w:basedOn w:val="Normal"/>
    <w:next w:val="AddressTR"/>
    <w:pPr>
      <w:ind w:left="5103"/>
      <w:jc w:val="left"/>
    </w:pPr>
    <w:rPr>
      <w:sz w:val="20"/>
    </w:rPr>
  </w:style>
  <w:style w:type="paragraph" w:styleId="Explorateurdedocuments">
    <w:name w:val="Document Map"/>
    <w:basedOn w:val="Normal"/>
    <w:semiHidden/>
    <w:pPr>
      <w:shd w:val="clear" w:color="auto" w:fill="000080"/>
    </w:pPr>
    <w:rPr>
      <w:rFonts w:ascii="Tahoma" w:hAnsi="Tahoma"/>
    </w:rPr>
  </w:style>
  <w:style w:type="paragraph" w:customStyle="1" w:styleId="DoubSign">
    <w:name w:val="DoubSign"/>
    <w:basedOn w:val="Normal"/>
    <w:next w:val="Enclosures"/>
    <w:pPr>
      <w:tabs>
        <w:tab w:val="left" w:pos="5103"/>
      </w:tabs>
      <w:spacing w:before="1200" w:after="0"/>
      <w:jc w:val="left"/>
    </w:pPr>
  </w:style>
  <w:style w:type="paragraph" w:customStyle="1" w:styleId="Enclosures">
    <w:name w:val="Enclosures"/>
    <w:basedOn w:val="Normal"/>
    <w:pPr>
      <w:keepNext/>
      <w:keepLines/>
      <w:tabs>
        <w:tab w:val="left" w:pos="5642"/>
      </w:tabs>
      <w:spacing w:before="480" w:after="0"/>
      <w:ind w:left="1191" w:hanging="1191"/>
      <w:jc w:val="left"/>
    </w:pPr>
  </w:style>
  <w:style w:type="paragraph" w:styleId="Notedefin">
    <w:name w:val="endnote text"/>
    <w:basedOn w:val="Normal"/>
    <w:semiHidden/>
    <w:rPr>
      <w:sz w:val="20"/>
    </w:rPr>
  </w:style>
  <w:style w:type="paragraph" w:styleId="Adressedestinataire">
    <w:name w:val="envelope address"/>
    <w:basedOn w:val="Normal"/>
    <w:pPr>
      <w:framePr w:w="7920" w:h="1980" w:hRule="exact" w:hSpace="180" w:wrap="auto" w:hAnchor="page" w:xAlign="center" w:yAlign="bottom"/>
      <w:spacing w:after="0"/>
    </w:pPr>
  </w:style>
  <w:style w:type="paragraph" w:styleId="Adresseexpditeur">
    <w:name w:val="envelope return"/>
    <w:basedOn w:val="Normal"/>
    <w:pPr>
      <w:spacing w:after="0"/>
    </w:pPr>
    <w:rPr>
      <w:sz w:val="20"/>
    </w:rPr>
  </w:style>
  <w:style w:type="paragraph" w:styleId="Pieddepage">
    <w:name w:val="footer"/>
    <w:basedOn w:val="Normal"/>
    <w:link w:val="PieddepageCar"/>
    <w:uiPriority w:val="99"/>
    <w:pPr>
      <w:spacing w:after="0"/>
      <w:ind w:right="-567"/>
      <w:jc w:val="left"/>
    </w:pPr>
    <w:rPr>
      <w:rFonts w:ascii="Arial" w:hAnsi="Arial"/>
      <w:sz w:val="16"/>
    </w:rPr>
  </w:style>
  <w:style w:type="paragraph" w:styleId="Notedebasdepage">
    <w:name w:val="footnote text"/>
    <w:basedOn w:val="Normal"/>
    <w:link w:val="NotedebasdepageCar"/>
    <w:uiPriority w:val="99"/>
    <w:pPr>
      <w:ind w:left="357" w:hanging="357"/>
    </w:pPr>
    <w:rPr>
      <w:sz w:val="20"/>
    </w:rPr>
  </w:style>
  <w:style w:type="paragraph" w:styleId="En-tte">
    <w:name w:val="header"/>
    <w:basedOn w:val="Normal"/>
    <w:link w:val="En-tteCar"/>
    <w:uiPriority w:val="99"/>
    <w:pPr>
      <w:tabs>
        <w:tab w:val="center" w:pos="4153"/>
        <w:tab w:val="right" w:pos="8306"/>
      </w:tabs>
    </w:p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b/>
    </w:rPr>
  </w:style>
  <w:style w:type="paragraph" w:styleId="Liste">
    <w:name w:val="List"/>
    <w:basedOn w:val="Normal"/>
    <w:pPr>
      <w:ind w:left="283" w:hanging="283"/>
    </w:pPr>
  </w:style>
  <w:style w:type="paragraph" w:styleId="Liste2">
    <w:name w:val="List 2"/>
    <w:basedOn w:val="Normal"/>
    <w:pPr>
      <w:ind w:left="566" w:hanging="283"/>
    </w:pPr>
  </w:style>
  <w:style w:type="paragraph" w:styleId="Liste3">
    <w:name w:val="List 3"/>
    <w:basedOn w:val="Normal"/>
    <w:pPr>
      <w:ind w:left="849" w:hanging="283"/>
    </w:pPr>
  </w:style>
  <w:style w:type="paragraph" w:styleId="Liste4">
    <w:name w:val="List 4"/>
    <w:basedOn w:val="Normal"/>
    <w:pPr>
      <w:ind w:left="1132" w:hanging="283"/>
    </w:pPr>
  </w:style>
  <w:style w:type="paragraph" w:styleId="Liste5">
    <w:name w:val="List 5"/>
    <w:basedOn w:val="Normal"/>
    <w:pPr>
      <w:ind w:left="1415" w:hanging="283"/>
    </w:pPr>
  </w:style>
  <w:style w:type="paragraph" w:styleId="Listepuces">
    <w:name w:val="List Bullet"/>
    <w:basedOn w:val="Normal"/>
    <w:pPr>
      <w:numPr>
        <w:numId w:val="7"/>
      </w:numPr>
    </w:pPr>
  </w:style>
  <w:style w:type="paragraph" w:styleId="Listepuces2">
    <w:name w:val="List Bullet 2"/>
    <w:basedOn w:val="Text2"/>
    <w:pPr>
      <w:numPr>
        <w:numId w:val="9"/>
      </w:numPr>
      <w:tabs>
        <w:tab w:val="clear" w:pos="2302"/>
      </w:tabs>
    </w:pPr>
  </w:style>
  <w:style w:type="paragraph" w:styleId="Listepuces3">
    <w:name w:val="List Bullet 3"/>
    <w:basedOn w:val="Text3"/>
    <w:pPr>
      <w:numPr>
        <w:numId w:val="10"/>
      </w:numPr>
      <w:tabs>
        <w:tab w:val="clear" w:pos="2302"/>
      </w:tabs>
    </w:pPr>
  </w:style>
  <w:style w:type="paragraph" w:styleId="Listepuces4">
    <w:name w:val="List Bullet 4"/>
    <w:basedOn w:val="Text4"/>
    <w:pPr>
      <w:numPr>
        <w:numId w:val="11"/>
      </w:numPr>
      <w:tabs>
        <w:tab w:val="clear" w:pos="2302"/>
      </w:tabs>
    </w:pPr>
  </w:style>
  <w:style w:type="paragraph" w:styleId="Listepuces5">
    <w:name w:val="List Bullet 5"/>
    <w:basedOn w:val="Normal"/>
    <w:autoRedefine/>
    <w:pPr>
      <w:numPr>
        <w:numId w:val="4"/>
      </w:numPr>
    </w:pPr>
  </w:style>
  <w:style w:type="paragraph" w:styleId="Listecontinue">
    <w:name w:val="List Continue"/>
    <w:basedOn w:val="Normal"/>
    <w:pPr>
      <w:spacing w:after="120"/>
      <w:ind w:left="283"/>
    </w:pPr>
  </w:style>
  <w:style w:type="paragraph" w:styleId="Listecontinue2">
    <w:name w:val="List Continue 2"/>
    <w:basedOn w:val="Normal"/>
    <w:pPr>
      <w:spacing w:after="120"/>
      <w:ind w:left="566"/>
    </w:pPr>
  </w:style>
  <w:style w:type="paragraph" w:styleId="Listecontinue3">
    <w:name w:val="List Continue 3"/>
    <w:basedOn w:val="Normal"/>
    <w:pPr>
      <w:spacing w:after="120"/>
      <w:ind w:left="849"/>
    </w:pPr>
  </w:style>
  <w:style w:type="paragraph" w:styleId="Listecontinue4">
    <w:name w:val="List Continue 4"/>
    <w:basedOn w:val="Normal"/>
    <w:pPr>
      <w:spacing w:after="120"/>
      <w:ind w:left="1132"/>
    </w:pPr>
  </w:style>
  <w:style w:type="paragraph" w:styleId="Listecontinue5">
    <w:name w:val="List Continue 5"/>
    <w:basedOn w:val="Normal"/>
    <w:pPr>
      <w:spacing w:after="120"/>
      <w:ind w:left="1415"/>
    </w:pPr>
  </w:style>
  <w:style w:type="paragraph" w:styleId="Listenumros">
    <w:name w:val="List Number"/>
    <w:basedOn w:val="Normal"/>
    <w:pPr>
      <w:numPr>
        <w:numId w:val="17"/>
      </w:numPr>
    </w:pPr>
  </w:style>
  <w:style w:type="paragraph" w:styleId="Listenumros2">
    <w:name w:val="List Number 2"/>
    <w:basedOn w:val="Text2"/>
    <w:pPr>
      <w:numPr>
        <w:numId w:val="19"/>
      </w:numPr>
      <w:tabs>
        <w:tab w:val="clear" w:pos="2302"/>
      </w:tabs>
    </w:pPr>
  </w:style>
  <w:style w:type="paragraph" w:styleId="Listenumros3">
    <w:name w:val="List Number 3"/>
    <w:basedOn w:val="Text3"/>
    <w:pPr>
      <w:numPr>
        <w:numId w:val="20"/>
      </w:numPr>
      <w:tabs>
        <w:tab w:val="clear" w:pos="2302"/>
      </w:tabs>
    </w:pPr>
  </w:style>
  <w:style w:type="paragraph" w:styleId="Listenumros4">
    <w:name w:val="List Number 4"/>
    <w:basedOn w:val="Text4"/>
    <w:pPr>
      <w:numPr>
        <w:numId w:val="21"/>
      </w:numPr>
      <w:tabs>
        <w:tab w:val="clear" w:pos="2302"/>
      </w:tabs>
    </w:pPr>
  </w:style>
  <w:style w:type="paragraph" w:styleId="Listenumros5">
    <w:name w:val="List Number 5"/>
    <w:basedOn w:val="Normal"/>
    <w:pPr>
      <w:numPr>
        <w:numId w:val="5"/>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lang w:eastAsia="en-US"/>
    </w:rPr>
  </w:style>
  <w:style w:type="paragraph" w:styleId="En-ttedemessage">
    <w:name w:val="Message Header"/>
    <w:basedOn w:val="Normal"/>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rPr>
  </w:style>
  <w:style w:type="paragraph" w:styleId="Retraitnormal">
    <w:name w:val="Normal Indent"/>
    <w:basedOn w:val="Normal"/>
    <w:pPr>
      <w:ind w:left="720"/>
    </w:pPr>
  </w:style>
  <w:style w:type="paragraph" w:customStyle="1" w:styleId="NoteHeading1">
    <w:name w:val="Note Heading1"/>
    <w:basedOn w:val="Normal"/>
    <w:next w:val="Normal"/>
  </w:style>
  <w:style w:type="paragraph" w:customStyle="1" w:styleId="NoteHead">
    <w:name w:val="NoteHead"/>
    <w:basedOn w:val="Normal"/>
    <w:next w:val="Subject"/>
    <w:pPr>
      <w:spacing w:before="720" w:after="720"/>
      <w:jc w:val="center"/>
    </w:pPr>
    <w:rPr>
      <w:b/>
      <w:smallCaps/>
    </w:rPr>
  </w:style>
  <w:style w:type="paragraph" w:customStyle="1" w:styleId="Subject">
    <w:name w:val="Subject"/>
    <w:basedOn w:val="Normal"/>
    <w:next w:val="Normal"/>
    <w:pPr>
      <w:spacing w:after="480"/>
      <w:ind w:left="1531" w:hanging="1531"/>
      <w:jc w:val="left"/>
    </w:pPr>
    <w:rPr>
      <w:b/>
    </w:rPr>
  </w:style>
  <w:style w:type="paragraph" w:customStyle="1" w:styleId="NoteList">
    <w:name w:val="NoteList"/>
    <w:basedOn w:val="Normal"/>
    <w:next w:val="Subject"/>
    <w:pPr>
      <w:tabs>
        <w:tab w:val="left" w:pos="5823"/>
      </w:tabs>
      <w:spacing w:before="720" w:after="720"/>
      <w:ind w:left="5104" w:hanging="3119"/>
      <w:jc w:val="left"/>
    </w:pPr>
    <w:rPr>
      <w:b/>
      <w:smallCaps/>
    </w:rPr>
  </w:style>
  <w:style w:type="paragraph" w:customStyle="1" w:styleId="NumPar1">
    <w:name w:val="NumPar 1"/>
    <w:basedOn w:val="Titre1"/>
    <w:next w:val="Text1"/>
    <w:pPr>
      <w:keepNext w:val="0"/>
      <w:spacing w:before="0"/>
      <w:outlineLvl w:val="9"/>
    </w:pPr>
    <w:rPr>
      <w:b w:val="0"/>
      <w:smallCaps/>
    </w:rPr>
  </w:style>
  <w:style w:type="paragraph" w:customStyle="1" w:styleId="NumPar2">
    <w:name w:val="NumPar 2"/>
    <w:basedOn w:val="Titre2"/>
    <w:next w:val="Text2"/>
    <w:pPr>
      <w:keepNext w:val="0"/>
      <w:outlineLvl w:val="9"/>
    </w:pPr>
    <w:rPr>
      <w:b w:val="0"/>
    </w:rPr>
  </w:style>
  <w:style w:type="paragraph" w:customStyle="1" w:styleId="NumPar3">
    <w:name w:val="NumPar 3"/>
    <w:basedOn w:val="Titre3"/>
    <w:next w:val="Text3"/>
    <w:pPr>
      <w:keepNext w:val="0"/>
      <w:outlineLvl w:val="9"/>
    </w:pPr>
    <w:rPr>
      <w:i w:val="0"/>
    </w:rPr>
  </w:style>
  <w:style w:type="paragraph" w:customStyle="1" w:styleId="NumPar4">
    <w:name w:val="NumPar 4"/>
    <w:basedOn w:val="Titre4"/>
    <w:next w:val="Text4"/>
    <w:pPr>
      <w:keepNext w:val="0"/>
      <w:outlineLvl w:val="9"/>
    </w:pPr>
  </w:style>
  <w:style w:type="paragraph" w:customStyle="1" w:styleId="PartTitle">
    <w:name w:val="PartTitle"/>
    <w:basedOn w:val="Normal"/>
    <w:next w:val="ChapterTitle"/>
    <w:pPr>
      <w:keepNext/>
      <w:pageBreakBefore/>
      <w:spacing w:after="480"/>
      <w:jc w:val="center"/>
    </w:pPr>
    <w:rPr>
      <w:b/>
      <w:sz w:val="36"/>
    </w:rPr>
  </w:style>
  <w:style w:type="paragraph" w:styleId="Textebrut">
    <w:name w:val="Plain Text"/>
    <w:basedOn w:val="Normal"/>
    <w:rPr>
      <w:rFonts w:ascii="Courier New" w:hAnsi="Courier New"/>
      <w:sz w:val="20"/>
    </w:rPr>
  </w:style>
  <w:style w:type="paragraph" w:styleId="Salutations">
    <w:name w:val="Salutation"/>
    <w:basedOn w:val="Normal"/>
    <w:next w:val="Normal"/>
  </w:style>
  <w:style w:type="paragraph" w:styleId="Signature">
    <w:name w:val="Signature"/>
    <w:basedOn w:val="Normal"/>
    <w:next w:val="Enclosures"/>
    <w:pPr>
      <w:tabs>
        <w:tab w:val="left" w:pos="5103"/>
      </w:tabs>
      <w:spacing w:before="1200" w:after="0"/>
      <w:ind w:left="5103"/>
      <w:jc w:val="center"/>
    </w:pPr>
  </w:style>
  <w:style w:type="paragraph" w:styleId="Sous-titre">
    <w:name w:val="Subtitle"/>
    <w:basedOn w:val="Normal"/>
    <w:link w:val="Sous-titreCar"/>
    <w:qFormat/>
    <w:pPr>
      <w:spacing w:after="60"/>
      <w:jc w:val="center"/>
      <w:outlineLvl w:val="1"/>
    </w:pPr>
    <w:rPr>
      <w:rFonts w:ascii="Arial" w:hAnsi="Arial"/>
    </w:rPr>
  </w:style>
  <w:style w:type="paragraph" w:customStyle="1" w:styleId="SubTitle1">
    <w:name w:val="SubTitle 1"/>
    <w:basedOn w:val="Normal"/>
    <w:next w:val="SubTitle2"/>
    <w:pPr>
      <w:jc w:val="center"/>
    </w:pPr>
    <w:rPr>
      <w:b/>
      <w:sz w:val="40"/>
    </w:rPr>
  </w:style>
  <w:style w:type="paragraph" w:customStyle="1" w:styleId="SubTitle2">
    <w:name w:val="SubTitle 2"/>
    <w:basedOn w:val="Normal"/>
    <w:pPr>
      <w:jc w:val="center"/>
    </w:pPr>
    <w:rPr>
      <w:b/>
      <w:sz w:val="32"/>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
    <w:name w:val="Title"/>
    <w:basedOn w:val="Normal"/>
    <w:next w:val="SubTitle1"/>
    <w:qFormat/>
    <w:pPr>
      <w:spacing w:after="480"/>
      <w:jc w:val="center"/>
    </w:pPr>
    <w:rPr>
      <w:b/>
      <w:kern w:val="28"/>
      <w:sz w:val="48"/>
    </w:rPr>
  </w:style>
  <w:style w:type="paragraph" w:styleId="TitreTR">
    <w:name w:val="toa heading"/>
    <w:basedOn w:val="Normal"/>
    <w:next w:val="Normal"/>
    <w:semiHidden/>
    <w:pPr>
      <w:spacing w:before="120"/>
    </w:pPr>
    <w:rPr>
      <w:rFonts w:ascii="Arial" w:hAnsi="Arial"/>
      <w:b/>
    </w:rPr>
  </w:style>
  <w:style w:type="paragraph" w:styleId="TM1">
    <w:name w:val="toc 1"/>
    <w:basedOn w:val="Normal"/>
    <w:next w:val="Normal"/>
    <w:semiHidden/>
    <w:pPr>
      <w:tabs>
        <w:tab w:val="right" w:leader="dot" w:pos="8640"/>
      </w:tabs>
      <w:spacing w:before="120" w:after="120"/>
      <w:ind w:left="482" w:right="720" w:hanging="482"/>
    </w:pPr>
    <w:rPr>
      <w:caps/>
    </w:rPr>
  </w:style>
  <w:style w:type="paragraph" w:styleId="TM2">
    <w:name w:val="toc 2"/>
    <w:basedOn w:val="Normal"/>
    <w:next w:val="Normal"/>
    <w:semiHidden/>
    <w:pPr>
      <w:tabs>
        <w:tab w:val="right" w:leader="dot" w:pos="8640"/>
      </w:tabs>
      <w:spacing w:before="60" w:after="60"/>
      <w:ind w:left="1077" w:right="720" w:hanging="595"/>
    </w:pPr>
  </w:style>
  <w:style w:type="paragraph" w:styleId="TM3">
    <w:name w:val="toc 3"/>
    <w:basedOn w:val="Normal"/>
    <w:next w:val="Normal"/>
    <w:semiHidden/>
    <w:pPr>
      <w:tabs>
        <w:tab w:val="right" w:leader="dot" w:pos="8640"/>
      </w:tabs>
      <w:spacing w:before="60" w:after="60"/>
      <w:ind w:left="1916" w:right="720" w:hanging="839"/>
    </w:pPr>
  </w:style>
  <w:style w:type="paragraph" w:styleId="TM4">
    <w:name w:val="toc 4"/>
    <w:basedOn w:val="Normal"/>
    <w:next w:val="Normal"/>
    <w:semiHidden/>
    <w:pPr>
      <w:tabs>
        <w:tab w:val="right" w:leader="dot" w:pos="8641"/>
      </w:tabs>
      <w:spacing w:before="60" w:after="60"/>
      <w:ind w:left="2880" w:right="720" w:hanging="964"/>
    </w:pPr>
  </w:style>
  <w:style w:type="paragraph" w:styleId="TM5">
    <w:name w:val="toc 5"/>
    <w:basedOn w:val="Normal"/>
    <w:next w:val="Normal"/>
    <w:semiHidden/>
    <w:pPr>
      <w:tabs>
        <w:tab w:val="right" w:leader="dot" w:pos="8641"/>
      </w:tabs>
      <w:spacing w:before="240" w:after="120"/>
      <w:ind w:right="720"/>
    </w:pPr>
    <w:rPr>
      <w:caps/>
    </w:r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 w:type="paragraph" w:customStyle="1" w:styleId="YReferences">
    <w:name w:val="YReferences"/>
    <w:basedOn w:val="Normal"/>
    <w:next w:val="Normal"/>
    <w:pPr>
      <w:spacing w:after="480"/>
      <w:ind w:left="1531" w:hanging="1531"/>
    </w:pPr>
  </w:style>
  <w:style w:type="paragraph" w:customStyle="1" w:styleId="ListBullet1">
    <w:name w:val="List Bullet 1"/>
    <w:basedOn w:val="Text1"/>
    <w:pPr>
      <w:numPr>
        <w:numId w:val="8"/>
      </w:numPr>
    </w:pPr>
  </w:style>
  <w:style w:type="paragraph" w:customStyle="1" w:styleId="ListDash">
    <w:name w:val="List Dash"/>
    <w:basedOn w:val="Normal"/>
    <w:pPr>
      <w:numPr>
        <w:numId w:val="12"/>
      </w:numPr>
    </w:pPr>
  </w:style>
  <w:style w:type="paragraph" w:customStyle="1" w:styleId="ListDash1">
    <w:name w:val="List Dash 1"/>
    <w:basedOn w:val="Text1"/>
    <w:pPr>
      <w:numPr>
        <w:numId w:val="13"/>
      </w:numPr>
    </w:pPr>
  </w:style>
  <w:style w:type="paragraph" w:customStyle="1" w:styleId="ListDash2">
    <w:name w:val="List Dash 2"/>
    <w:basedOn w:val="Text2"/>
    <w:pPr>
      <w:numPr>
        <w:numId w:val="14"/>
      </w:numPr>
      <w:tabs>
        <w:tab w:val="clear" w:pos="2302"/>
      </w:tabs>
    </w:pPr>
  </w:style>
  <w:style w:type="paragraph" w:customStyle="1" w:styleId="ListDash3">
    <w:name w:val="List Dash 3"/>
    <w:basedOn w:val="Text3"/>
    <w:pPr>
      <w:numPr>
        <w:numId w:val="15"/>
      </w:numPr>
      <w:tabs>
        <w:tab w:val="clear" w:pos="2302"/>
      </w:tabs>
    </w:pPr>
  </w:style>
  <w:style w:type="paragraph" w:customStyle="1" w:styleId="ListDash4">
    <w:name w:val="List Dash 4"/>
    <w:basedOn w:val="Text4"/>
    <w:pPr>
      <w:numPr>
        <w:numId w:val="16"/>
      </w:numPr>
      <w:tabs>
        <w:tab w:val="clear" w:pos="2302"/>
      </w:tabs>
    </w:pPr>
  </w:style>
  <w:style w:type="paragraph" w:customStyle="1" w:styleId="ListNumberLevel2">
    <w:name w:val="List Number (Level 2)"/>
    <w:basedOn w:val="Normal"/>
    <w:pPr>
      <w:numPr>
        <w:ilvl w:val="1"/>
        <w:numId w:val="17"/>
      </w:numPr>
    </w:pPr>
  </w:style>
  <w:style w:type="paragraph" w:customStyle="1" w:styleId="ListNumberLevel3">
    <w:name w:val="List Number (Level 3)"/>
    <w:basedOn w:val="Normal"/>
    <w:pPr>
      <w:numPr>
        <w:ilvl w:val="2"/>
        <w:numId w:val="17"/>
      </w:numPr>
    </w:pPr>
  </w:style>
  <w:style w:type="paragraph" w:customStyle="1" w:styleId="ListNumberLevel4">
    <w:name w:val="List Number (Level 4)"/>
    <w:basedOn w:val="Normal"/>
    <w:pPr>
      <w:numPr>
        <w:ilvl w:val="3"/>
        <w:numId w:val="17"/>
      </w:numPr>
    </w:pPr>
  </w:style>
  <w:style w:type="paragraph" w:customStyle="1" w:styleId="ListNumber1">
    <w:name w:val="List Number 1"/>
    <w:basedOn w:val="Text1"/>
    <w:pPr>
      <w:numPr>
        <w:numId w:val="18"/>
      </w:numPr>
    </w:pPr>
  </w:style>
  <w:style w:type="paragraph" w:customStyle="1" w:styleId="ListNumber1Level2">
    <w:name w:val="List Number 1 (Level 2)"/>
    <w:basedOn w:val="Text1"/>
    <w:pPr>
      <w:numPr>
        <w:ilvl w:val="1"/>
        <w:numId w:val="18"/>
      </w:numPr>
    </w:pPr>
  </w:style>
  <w:style w:type="paragraph" w:customStyle="1" w:styleId="ListNumber1Level3">
    <w:name w:val="List Number 1 (Level 3)"/>
    <w:basedOn w:val="Text1"/>
    <w:pPr>
      <w:numPr>
        <w:ilvl w:val="2"/>
        <w:numId w:val="18"/>
      </w:numPr>
    </w:pPr>
  </w:style>
  <w:style w:type="paragraph" w:customStyle="1" w:styleId="ListNumber1Level4">
    <w:name w:val="List Number 1 (Level 4)"/>
    <w:basedOn w:val="Text1"/>
    <w:pPr>
      <w:numPr>
        <w:ilvl w:val="3"/>
        <w:numId w:val="18"/>
      </w:numPr>
    </w:pPr>
  </w:style>
  <w:style w:type="paragraph" w:customStyle="1" w:styleId="ListNumber2Level2">
    <w:name w:val="List Number 2 (Level 2)"/>
    <w:basedOn w:val="Text2"/>
    <w:pPr>
      <w:numPr>
        <w:ilvl w:val="1"/>
        <w:numId w:val="19"/>
      </w:numPr>
      <w:tabs>
        <w:tab w:val="clear" w:pos="2302"/>
      </w:tabs>
    </w:pPr>
  </w:style>
  <w:style w:type="paragraph" w:customStyle="1" w:styleId="ListNumber2Level3">
    <w:name w:val="List Number 2 (Level 3)"/>
    <w:basedOn w:val="Text2"/>
    <w:pPr>
      <w:numPr>
        <w:ilvl w:val="2"/>
        <w:numId w:val="19"/>
      </w:numPr>
      <w:tabs>
        <w:tab w:val="clear" w:pos="2302"/>
      </w:tabs>
    </w:pPr>
  </w:style>
  <w:style w:type="paragraph" w:customStyle="1" w:styleId="ListNumber2Level4">
    <w:name w:val="List Number 2 (Level 4)"/>
    <w:basedOn w:val="Text2"/>
    <w:pPr>
      <w:numPr>
        <w:ilvl w:val="3"/>
        <w:numId w:val="19"/>
      </w:numPr>
      <w:tabs>
        <w:tab w:val="clear" w:pos="2302"/>
      </w:tabs>
    </w:pPr>
  </w:style>
  <w:style w:type="paragraph" w:customStyle="1" w:styleId="ListNumber3Level2">
    <w:name w:val="List Number 3 (Level 2)"/>
    <w:basedOn w:val="Text3"/>
    <w:pPr>
      <w:numPr>
        <w:ilvl w:val="1"/>
        <w:numId w:val="20"/>
      </w:numPr>
      <w:tabs>
        <w:tab w:val="clear" w:pos="2302"/>
      </w:tabs>
    </w:pPr>
  </w:style>
  <w:style w:type="paragraph" w:customStyle="1" w:styleId="ListNumber3Level3">
    <w:name w:val="List Number 3 (Level 3)"/>
    <w:basedOn w:val="Text3"/>
    <w:pPr>
      <w:numPr>
        <w:ilvl w:val="2"/>
        <w:numId w:val="20"/>
      </w:numPr>
      <w:tabs>
        <w:tab w:val="clear" w:pos="2302"/>
      </w:tabs>
    </w:pPr>
  </w:style>
  <w:style w:type="paragraph" w:customStyle="1" w:styleId="ListNumber3Level4">
    <w:name w:val="List Number 3 (Level 4)"/>
    <w:basedOn w:val="Text3"/>
    <w:pPr>
      <w:numPr>
        <w:ilvl w:val="3"/>
        <w:numId w:val="20"/>
      </w:numPr>
      <w:tabs>
        <w:tab w:val="clear" w:pos="2302"/>
      </w:tabs>
    </w:pPr>
  </w:style>
  <w:style w:type="paragraph" w:customStyle="1" w:styleId="ListNumber4Level2">
    <w:name w:val="List Number 4 (Level 2)"/>
    <w:basedOn w:val="Text4"/>
    <w:pPr>
      <w:numPr>
        <w:ilvl w:val="1"/>
        <w:numId w:val="21"/>
      </w:numPr>
      <w:tabs>
        <w:tab w:val="clear" w:pos="2302"/>
      </w:tabs>
    </w:pPr>
  </w:style>
  <w:style w:type="paragraph" w:customStyle="1" w:styleId="ListNumber4Level3">
    <w:name w:val="List Number 4 (Level 3)"/>
    <w:basedOn w:val="Text4"/>
    <w:pPr>
      <w:numPr>
        <w:ilvl w:val="2"/>
        <w:numId w:val="21"/>
      </w:numPr>
      <w:tabs>
        <w:tab w:val="clear" w:pos="2302"/>
      </w:tabs>
    </w:pPr>
  </w:style>
  <w:style w:type="paragraph" w:customStyle="1" w:styleId="ListNumber4Level4">
    <w:name w:val="List Number 4 (Level 4)"/>
    <w:basedOn w:val="Text4"/>
    <w:pPr>
      <w:numPr>
        <w:ilvl w:val="3"/>
        <w:numId w:val="21"/>
      </w:numPr>
      <w:tabs>
        <w:tab w:val="clear" w:pos="2302"/>
      </w:tabs>
    </w:pPr>
  </w:style>
  <w:style w:type="paragraph" w:styleId="En-ttedetabledesmatires">
    <w:name w:val="TOC Heading"/>
    <w:basedOn w:val="Normal"/>
    <w:next w:val="Normal"/>
    <w:qFormat/>
    <w:pPr>
      <w:keepNext/>
      <w:spacing w:before="240"/>
      <w:jc w:val="center"/>
    </w:pPr>
    <w:rPr>
      <w:b/>
    </w:rPr>
  </w:style>
  <w:style w:type="paragraph" w:customStyle="1" w:styleId="Contact">
    <w:name w:val="Contact"/>
    <w:basedOn w:val="Normal"/>
    <w:next w:val="Normal"/>
    <w:uiPriority w:val="99"/>
    <w:pPr>
      <w:spacing w:after="480"/>
      <w:ind w:left="567" w:hanging="567"/>
      <w:jc w:val="left"/>
    </w:pPr>
  </w:style>
  <w:style w:type="paragraph" w:customStyle="1" w:styleId="Designator">
    <w:name w:val="Designator"/>
    <w:basedOn w:val="Normal"/>
    <w:pPr>
      <w:spacing w:after="0"/>
      <w:jc w:val="center"/>
    </w:pPr>
    <w:rPr>
      <w:b/>
      <w:caps/>
      <w:sz w:val="32"/>
    </w:rPr>
  </w:style>
  <w:style w:type="paragraph" w:customStyle="1" w:styleId="Releasable">
    <w:name w:val="Releasable"/>
    <w:basedOn w:val="Normal"/>
    <w:qFormat/>
    <w:pPr>
      <w:spacing w:after="0"/>
      <w:jc w:val="center"/>
    </w:pPr>
    <w:rPr>
      <w:b/>
      <w:caps/>
      <w:sz w:val="32"/>
      <w:lang w:val="de-DE"/>
    </w:rPr>
  </w:style>
  <w:style w:type="paragraph" w:customStyle="1" w:styleId="RUE">
    <w:name w:val="RUE"/>
    <w:basedOn w:val="Normal"/>
    <w:pPr>
      <w:spacing w:after="0"/>
      <w:jc w:val="center"/>
    </w:pPr>
    <w:rPr>
      <w:b/>
      <w:caps/>
      <w:sz w:val="32"/>
      <w:bdr w:val="single" w:sz="18" w:space="0" w:color="auto"/>
      <w:lang w:val="de-DE"/>
    </w:rPr>
  </w:style>
  <w:style w:type="paragraph" w:customStyle="1" w:styleId="ConfidentialUE">
    <w:name w:val="Confidential UE"/>
    <w:basedOn w:val="Normal"/>
    <w:pPr>
      <w:spacing w:after="0"/>
      <w:jc w:val="center"/>
    </w:pPr>
    <w:rPr>
      <w:b/>
      <w:caps/>
      <w:sz w:val="32"/>
      <w:bdr w:val="single" w:sz="18" w:space="0" w:color="auto"/>
    </w:rPr>
  </w:style>
  <w:style w:type="paragraph" w:customStyle="1" w:styleId="SecretUE">
    <w:name w:val="Secret UE"/>
    <w:basedOn w:val="Normal"/>
    <w:pPr>
      <w:spacing w:after="0"/>
      <w:jc w:val="center"/>
    </w:pPr>
    <w:rPr>
      <w:b/>
      <w:caps/>
      <w:color w:val="FF0000"/>
      <w:sz w:val="32"/>
      <w:bdr w:val="single" w:sz="18" w:space="0" w:color="FF0000"/>
    </w:rPr>
  </w:style>
  <w:style w:type="paragraph" w:customStyle="1" w:styleId="TrsSecretUE">
    <w:name w:val="Très Secret UE"/>
    <w:basedOn w:val="Normal"/>
    <w:pPr>
      <w:spacing w:after="0"/>
      <w:jc w:val="center"/>
    </w:pPr>
    <w:rPr>
      <w:b/>
      <w:caps/>
      <w:color w:val="FF0000"/>
      <w:sz w:val="32"/>
      <w:bdr w:val="single" w:sz="18" w:space="0" w:color="FF0000"/>
    </w:rPr>
  </w:style>
  <w:style w:type="paragraph" w:customStyle="1" w:styleId="LegalNumPar">
    <w:name w:val="LegalNumPar"/>
    <w:basedOn w:val="Normal"/>
    <w:pPr>
      <w:numPr>
        <w:numId w:val="30"/>
      </w:numPr>
      <w:spacing w:line="360" w:lineRule="auto"/>
      <w:jc w:val="left"/>
    </w:pPr>
    <w:rPr>
      <w:rFonts w:eastAsiaTheme="minorHAnsi"/>
      <w:szCs w:val="22"/>
    </w:rPr>
  </w:style>
  <w:style w:type="paragraph" w:customStyle="1" w:styleId="LegalNumPar2">
    <w:name w:val="LegalNumPar2"/>
    <w:basedOn w:val="Normal"/>
    <w:pPr>
      <w:numPr>
        <w:ilvl w:val="1"/>
        <w:numId w:val="30"/>
      </w:numPr>
      <w:spacing w:line="360" w:lineRule="auto"/>
      <w:ind w:left="952" w:hanging="476"/>
      <w:jc w:val="left"/>
    </w:pPr>
    <w:rPr>
      <w:rFonts w:eastAsiaTheme="minorHAnsi"/>
      <w:szCs w:val="22"/>
    </w:rPr>
  </w:style>
  <w:style w:type="paragraph" w:customStyle="1" w:styleId="LegalNumPar3">
    <w:name w:val="LegalNumPar3"/>
    <w:basedOn w:val="Normal"/>
    <w:pPr>
      <w:numPr>
        <w:ilvl w:val="2"/>
        <w:numId w:val="30"/>
      </w:numPr>
      <w:spacing w:line="360" w:lineRule="auto"/>
      <w:jc w:val="left"/>
    </w:pPr>
    <w:rPr>
      <w:rFonts w:eastAsiaTheme="minorHAnsi"/>
      <w:szCs w:val="22"/>
    </w:rPr>
  </w:style>
  <w:style w:type="character" w:customStyle="1" w:styleId="PieddepageCar">
    <w:name w:val="Pied de page Car"/>
    <w:basedOn w:val="Policepardfaut"/>
    <w:link w:val="Pieddepage"/>
    <w:uiPriority w:val="99"/>
    <w:rsid w:val="00951854"/>
    <w:rPr>
      <w:rFonts w:ascii="Arial" w:hAnsi="Arial"/>
      <w:sz w:val="16"/>
      <w:lang w:eastAsia="en-US"/>
    </w:rPr>
  </w:style>
  <w:style w:type="paragraph" w:customStyle="1" w:styleId="ZCom">
    <w:name w:val="Z_Com"/>
    <w:basedOn w:val="Normal"/>
    <w:next w:val="ZDGName"/>
    <w:uiPriority w:val="99"/>
    <w:rsid w:val="00951854"/>
    <w:pPr>
      <w:widowControl w:val="0"/>
      <w:autoSpaceDE w:val="0"/>
      <w:autoSpaceDN w:val="0"/>
      <w:spacing w:after="0"/>
      <w:ind w:right="85"/>
    </w:pPr>
    <w:rPr>
      <w:rFonts w:ascii="Arial" w:eastAsiaTheme="minorEastAsia" w:hAnsi="Arial" w:cs="Arial"/>
      <w:szCs w:val="24"/>
      <w:lang w:eastAsia="en-GB"/>
    </w:rPr>
  </w:style>
  <w:style w:type="paragraph" w:customStyle="1" w:styleId="ZDGName">
    <w:name w:val="Z_DGName"/>
    <w:basedOn w:val="Normal"/>
    <w:uiPriority w:val="99"/>
    <w:rsid w:val="00951854"/>
    <w:pPr>
      <w:widowControl w:val="0"/>
      <w:autoSpaceDE w:val="0"/>
      <w:autoSpaceDN w:val="0"/>
      <w:spacing w:after="0"/>
      <w:ind w:right="85"/>
      <w:jc w:val="left"/>
    </w:pPr>
    <w:rPr>
      <w:rFonts w:ascii="Arial" w:eastAsiaTheme="minorEastAsia" w:hAnsi="Arial" w:cs="Arial"/>
      <w:sz w:val="16"/>
      <w:szCs w:val="16"/>
      <w:lang w:eastAsia="en-GB"/>
    </w:rPr>
  </w:style>
  <w:style w:type="character" w:customStyle="1" w:styleId="En-tteCar">
    <w:name w:val="En-tête Car"/>
    <w:basedOn w:val="Policepardfaut"/>
    <w:link w:val="En-tte"/>
    <w:uiPriority w:val="99"/>
    <w:rsid w:val="00951854"/>
    <w:rPr>
      <w:sz w:val="24"/>
      <w:lang w:eastAsia="en-US"/>
    </w:rPr>
  </w:style>
  <w:style w:type="character" w:styleId="Marquedecommentaire">
    <w:name w:val="annotation reference"/>
    <w:basedOn w:val="Policepardfaut"/>
    <w:uiPriority w:val="99"/>
    <w:semiHidden/>
    <w:unhideWhenUsed/>
    <w:rsid w:val="00814485"/>
    <w:rPr>
      <w:sz w:val="16"/>
      <w:szCs w:val="16"/>
    </w:rPr>
  </w:style>
  <w:style w:type="paragraph" w:styleId="Objetducommentaire">
    <w:name w:val="annotation subject"/>
    <w:basedOn w:val="Commentaire"/>
    <w:next w:val="Commentaire"/>
    <w:link w:val="ObjetducommentaireCar"/>
    <w:uiPriority w:val="99"/>
    <w:semiHidden/>
    <w:unhideWhenUsed/>
    <w:rsid w:val="00814485"/>
    <w:rPr>
      <w:b/>
      <w:bCs/>
    </w:rPr>
  </w:style>
  <w:style w:type="character" w:customStyle="1" w:styleId="CommentaireCar">
    <w:name w:val="Commentaire Car"/>
    <w:basedOn w:val="Policepardfaut"/>
    <w:link w:val="Commentaire"/>
    <w:semiHidden/>
    <w:rsid w:val="00814485"/>
    <w:rPr>
      <w:lang w:eastAsia="en-US"/>
    </w:rPr>
  </w:style>
  <w:style w:type="character" w:customStyle="1" w:styleId="ObjetducommentaireCar">
    <w:name w:val="Objet du commentaire Car"/>
    <w:basedOn w:val="CommentaireCar"/>
    <w:link w:val="Objetducommentaire"/>
    <w:uiPriority w:val="99"/>
    <w:semiHidden/>
    <w:rsid w:val="00814485"/>
    <w:rPr>
      <w:b/>
      <w:bCs/>
      <w:lang w:eastAsia="en-US"/>
    </w:rPr>
  </w:style>
  <w:style w:type="paragraph" w:styleId="Paragraphedeliste">
    <w:name w:val="List Paragraph"/>
    <w:basedOn w:val="Normal"/>
    <w:uiPriority w:val="34"/>
    <w:qFormat/>
    <w:rsid w:val="00814485"/>
    <w:pPr>
      <w:ind w:left="720"/>
      <w:contextualSpacing/>
    </w:pPr>
  </w:style>
  <w:style w:type="paragraph" w:styleId="Rvision">
    <w:name w:val="Revision"/>
    <w:hidden/>
    <w:uiPriority w:val="99"/>
    <w:semiHidden/>
    <w:rsid w:val="00FB3C1A"/>
    <w:rPr>
      <w:sz w:val="24"/>
      <w:lang w:eastAsia="en-US"/>
    </w:rPr>
  </w:style>
  <w:style w:type="character" w:customStyle="1" w:styleId="NotedebasdepageCar">
    <w:name w:val="Note de bas de page Car"/>
    <w:basedOn w:val="Policepardfaut"/>
    <w:link w:val="Notedebasdepage"/>
    <w:uiPriority w:val="99"/>
    <w:rsid w:val="00132807"/>
    <w:rPr>
      <w:lang w:eastAsia="en-US"/>
    </w:rPr>
  </w:style>
  <w:style w:type="character" w:styleId="Appelnotedebasdep">
    <w:name w:val="footnote reference"/>
    <w:basedOn w:val="Policepardfaut"/>
    <w:uiPriority w:val="99"/>
    <w:semiHidden/>
    <w:unhideWhenUsed/>
    <w:rsid w:val="00132807"/>
    <w:rPr>
      <w:vertAlign w:val="superscript"/>
    </w:rPr>
  </w:style>
  <w:style w:type="character" w:styleId="Lienhypertexte">
    <w:name w:val="Hyperlink"/>
    <w:basedOn w:val="Policepardfaut"/>
    <w:uiPriority w:val="99"/>
    <w:unhideWhenUsed/>
    <w:rsid w:val="00132807"/>
    <w:rPr>
      <w:color w:val="0000FF" w:themeColor="hyperlink"/>
      <w:u w:val="single"/>
    </w:rPr>
  </w:style>
  <w:style w:type="character" w:customStyle="1" w:styleId="Sous-titreCar">
    <w:name w:val="Sous-titre Car"/>
    <w:basedOn w:val="Policepardfaut"/>
    <w:link w:val="Sous-titre"/>
    <w:rsid w:val="00D81A2D"/>
    <w:rPr>
      <w:rFonts w:ascii="Arial" w:hAnsi="Arial"/>
      <w:sz w:val="24"/>
      <w:lang w:eastAsia="en-US"/>
    </w:rPr>
  </w:style>
  <w:style w:type="table" w:styleId="Grilledutableau">
    <w:name w:val="Table Grid"/>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Header0">
    <w:name w:val="Header_0"/>
    <w:basedOn w:val="Normal0"/>
    <w:link w:val="HeaderChar0"/>
    <w:uiPriority w:val="99"/>
    <w:pPr>
      <w:tabs>
        <w:tab w:val="center" w:pos="4153"/>
        <w:tab w:val="right" w:pos="8306"/>
      </w:tabs>
    </w:pPr>
  </w:style>
  <w:style w:type="paragraph" w:customStyle="1" w:styleId="Normal0">
    <w:name w:val="Normal_0"/>
    <w:qFormat/>
    <w:pPr>
      <w:spacing w:after="240"/>
      <w:jc w:val="both"/>
    </w:pPr>
    <w:rPr>
      <w:sz w:val="24"/>
      <w:lang w:eastAsia="en-US"/>
    </w:rPr>
  </w:style>
  <w:style w:type="character" w:customStyle="1" w:styleId="HeaderChar0">
    <w:name w:val="Header Char_0"/>
    <w:basedOn w:val="Policepardfaut"/>
    <w:link w:val="Header0"/>
    <w:uiPriority w:val="99"/>
    <w:rsid w:val="00951854"/>
    <w:rPr>
      <w:sz w:val="24"/>
      <w:lang w:eastAsia="en-US"/>
    </w:rPr>
  </w:style>
  <w:style w:type="paragraph" w:customStyle="1" w:styleId="Footer0">
    <w:name w:val="Footer_0"/>
    <w:basedOn w:val="Normal0"/>
    <w:link w:val="FooterChar0"/>
    <w:uiPriority w:val="99"/>
    <w:pPr>
      <w:spacing w:after="0"/>
      <w:ind w:right="-567"/>
      <w:jc w:val="left"/>
    </w:pPr>
    <w:rPr>
      <w:rFonts w:ascii="Arial" w:hAnsi="Arial"/>
      <w:sz w:val="16"/>
    </w:rPr>
  </w:style>
  <w:style w:type="character" w:customStyle="1" w:styleId="FooterChar0">
    <w:name w:val="Footer Char_0"/>
    <w:basedOn w:val="Policepardfaut"/>
    <w:link w:val="Footer0"/>
    <w:uiPriority w:val="99"/>
    <w:rsid w:val="00951854"/>
    <w:rPr>
      <w:rFonts w:ascii="Arial" w:hAnsi="Arial"/>
      <w:sz w:val="16"/>
      <w:lang w:eastAsia="en-US"/>
    </w:rPr>
  </w:style>
  <w:style w:type="paragraph" w:customStyle="1" w:styleId="Heading10">
    <w:name w:val="Heading 1_0"/>
    <w:basedOn w:val="Normal0"/>
    <w:next w:val="Text10"/>
    <w:link w:val="Heading1Char"/>
    <w:qFormat/>
    <w:rsid w:val="002416FE"/>
    <w:pPr>
      <w:keepNext/>
      <w:numPr>
        <w:numId w:val="33"/>
      </w:numPr>
      <w:spacing w:before="240"/>
      <w:outlineLvl w:val="0"/>
    </w:pPr>
    <w:rPr>
      <w:b/>
    </w:rPr>
  </w:style>
  <w:style w:type="paragraph" w:customStyle="1" w:styleId="Heading20">
    <w:name w:val="Heading 2_0"/>
    <w:basedOn w:val="Normal0"/>
    <w:next w:val="Text20"/>
    <w:qFormat/>
    <w:pPr>
      <w:keepNext/>
      <w:numPr>
        <w:ilvl w:val="1"/>
        <w:numId w:val="33"/>
      </w:numPr>
      <w:outlineLvl w:val="1"/>
    </w:pPr>
    <w:rPr>
      <w:b/>
    </w:rPr>
  </w:style>
  <w:style w:type="paragraph" w:customStyle="1" w:styleId="Text20">
    <w:name w:val="Text 2_0"/>
    <w:basedOn w:val="Normal0"/>
    <w:pPr>
      <w:tabs>
        <w:tab w:val="left" w:pos="2302"/>
      </w:tabs>
      <w:ind w:left="1202"/>
    </w:pPr>
  </w:style>
  <w:style w:type="paragraph" w:customStyle="1" w:styleId="Heading30">
    <w:name w:val="Heading 3_0"/>
    <w:basedOn w:val="Normal0"/>
    <w:next w:val="Text30"/>
    <w:qFormat/>
    <w:pPr>
      <w:keepNext/>
      <w:numPr>
        <w:ilvl w:val="2"/>
        <w:numId w:val="33"/>
      </w:numPr>
      <w:outlineLvl w:val="2"/>
    </w:pPr>
    <w:rPr>
      <w:i/>
    </w:rPr>
  </w:style>
  <w:style w:type="paragraph" w:customStyle="1" w:styleId="Text30">
    <w:name w:val="Text 3_0"/>
    <w:basedOn w:val="Normal0"/>
    <w:pPr>
      <w:tabs>
        <w:tab w:val="left" w:pos="2302"/>
      </w:tabs>
      <w:ind w:left="1202"/>
    </w:pPr>
  </w:style>
  <w:style w:type="paragraph" w:customStyle="1" w:styleId="Heading40">
    <w:name w:val="Heading 4_0"/>
    <w:basedOn w:val="Normal0"/>
    <w:next w:val="Text40"/>
    <w:qFormat/>
    <w:pPr>
      <w:keepNext/>
      <w:numPr>
        <w:ilvl w:val="3"/>
        <w:numId w:val="33"/>
      </w:numPr>
      <w:outlineLvl w:val="3"/>
    </w:pPr>
  </w:style>
  <w:style w:type="paragraph" w:customStyle="1" w:styleId="Text40">
    <w:name w:val="Text 4_0"/>
    <w:basedOn w:val="Normal0"/>
    <w:pPr>
      <w:tabs>
        <w:tab w:val="left" w:pos="2302"/>
      </w:tabs>
      <w:ind w:left="1202"/>
    </w:pPr>
  </w:style>
  <w:style w:type="paragraph" w:customStyle="1" w:styleId="Text10">
    <w:name w:val="Text 1_0"/>
    <w:basedOn w:val="Normal0"/>
    <w:pPr>
      <w:ind w:left="482"/>
    </w:pPr>
  </w:style>
  <w:style w:type="character" w:customStyle="1" w:styleId="Heading1Char">
    <w:name w:val="Heading 1 Char"/>
    <w:basedOn w:val="Policepardfaut"/>
    <w:link w:val="Heading10"/>
    <w:rsid w:val="00B941C9"/>
    <w:rPr>
      <w:b/>
      <w:sz w:val="24"/>
      <w:lang w:eastAsia="en-US"/>
    </w:rPr>
  </w:style>
  <w:style w:type="paragraph" w:customStyle="1" w:styleId="Subtitle0">
    <w:name w:val="Subtitle_0"/>
    <w:basedOn w:val="Normal0"/>
    <w:link w:val="SubtitleChar0"/>
    <w:qFormat/>
    <w:pPr>
      <w:spacing w:after="60"/>
      <w:jc w:val="center"/>
      <w:outlineLvl w:val="1"/>
    </w:pPr>
    <w:rPr>
      <w:rFonts w:ascii="Arial" w:hAnsi="Arial"/>
    </w:rPr>
  </w:style>
  <w:style w:type="character" w:customStyle="1" w:styleId="SubtitleChar0">
    <w:name w:val="Subtitle Char_0"/>
    <w:basedOn w:val="Policepardfaut"/>
    <w:link w:val="Subtitle0"/>
    <w:rsid w:val="00D81A2D"/>
    <w:rPr>
      <w:rFonts w:ascii="Arial" w:hAnsi="Arial"/>
      <w:sz w:val="24"/>
      <w:lang w:eastAsia="en-US"/>
    </w:rPr>
  </w:style>
  <w:style w:type="paragraph" w:customStyle="1" w:styleId="Header1">
    <w:name w:val="Header_1"/>
    <w:basedOn w:val="Normal1"/>
    <w:link w:val="HeaderChar1"/>
    <w:uiPriority w:val="99"/>
    <w:pPr>
      <w:tabs>
        <w:tab w:val="center" w:pos="4153"/>
        <w:tab w:val="right" w:pos="8306"/>
      </w:tabs>
    </w:pPr>
  </w:style>
  <w:style w:type="paragraph" w:customStyle="1" w:styleId="Normal1">
    <w:name w:val="Normal_1"/>
    <w:qFormat/>
    <w:pPr>
      <w:spacing w:after="240"/>
      <w:jc w:val="both"/>
    </w:pPr>
    <w:rPr>
      <w:sz w:val="24"/>
      <w:lang w:eastAsia="en-US"/>
    </w:rPr>
  </w:style>
  <w:style w:type="character" w:customStyle="1" w:styleId="HeaderChar1">
    <w:name w:val="Header Char_1"/>
    <w:basedOn w:val="Policepardfaut"/>
    <w:link w:val="Header1"/>
    <w:uiPriority w:val="99"/>
    <w:rsid w:val="00951854"/>
    <w:rPr>
      <w:sz w:val="24"/>
      <w:lang w:eastAsia="en-US"/>
    </w:rPr>
  </w:style>
  <w:style w:type="paragraph" w:customStyle="1" w:styleId="Footer1">
    <w:name w:val="Footer_1"/>
    <w:basedOn w:val="Normal1"/>
    <w:link w:val="FooterChar1"/>
    <w:uiPriority w:val="99"/>
    <w:pPr>
      <w:spacing w:after="0"/>
      <w:ind w:right="-567"/>
      <w:jc w:val="left"/>
    </w:pPr>
    <w:rPr>
      <w:rFonts w:ascii="Arial" w:hAnsi="Arial"/>
      <w:sz w:val="16"/>
    </w:rPr>
  </w:style>
  <w:style w:type="character" w:customStyle="1" w:styleId="FooterChar1">
    <w:name w:val="Footer Char_1"/>
    <w:basedOn w:val="Policepardfaut"/>
    <w:link w:val="Footer1"/>
    <w:uiPriority w:val="99"/>
    <w:rsid w:val="00951854"/>
    <w:rPr>
      <w:rFonts w:ascii="Arial" w:hAnsi="Arial"/>
      <w:sz w:val="16"/>
      <w:lang w:eastAsia="en-US"/>
    </w:rPr>
  </w:style>
  <w:style w:type="paragraph" w:customStyle="1" w:styleId="Heading11">
    <w:name w:val="Heading 1_1"/>
    <w:basedOn w:val="Normal1"/>
    <w:next w:val="Text11"/>
    <w:qFormat/>
    <w:rsid w:val="002416FE"/>
    <w:pPr>
      <w:keepNext/>
      <w:numPr>
        <w:numId w:val="34"/>
      </w:numPr>
      <w:spacing w:before="240"/>
      <w:outlineLvl w:val="0"/>
    </w:pPr>
    <w:rPr>
      <w:b/>
    </w:rPr>
  </w:style>
  <w:style w:type="paragraph" w:customStyle="1" w:styleId="Heading21">
    <w:name w:val="Heading 2_1"/>
    <w:basedOn w:val="Normal1"/>
    <w:next w:val="Text21"/>
    <w:qFormat/>
    <w:pPr>
      <w:keepNext/>
      <w:numPr>
        <w:ilvl w:val="1"/>
        <w:numId w:val="34"/>
      </w:numPr>
      <w:outlineLvl w:val="1"/>
    </w:pPr>
    <w:rPr>
      <w:b/>
    </w:rPr>
  </w:style>
  <w:style w:type="paragraph" w:customStyle="1" w:styleId="Text21">
    <w:name w:val="Text 2_1"/>
    <w:basedOn w:val="Normal1"/>
    <w:pPr>
      <w:tabs>
        <w:tab w:val="left" w:pos="2302"/>
      </w:tabs>
      <w:ind w:left="1202"/>
    </w:pPr>
  </w:style>
  <w:style w:type="paragraph" w:customStyle="1" w:styleId="Heading31">
    <w:name w:val="Heading 3_1"/>
    <w:basedOn w:val="Normal1"/>
    <w:next w:val="Text31"/>
    <w:qFormat/>
    <w:pPr>
      <w:keepNext/>
      <w:numPr>
        <w:ilvl w:val="2"/>
        <w:numId w:val="34"/>
      </w:numPr>
      <w:outlineLvl w:val="2"/>
    </w:pPr>
    <w:rPr>
      <w:i/>
    </w:rPr>
  </w:style>
  <w:style w:type="paragraph" w:customStyle="1" w:styleId="Text31">
    <w:name w:val="Text 3_1"/>
    <w:basedOn w:val="Normal1"/>
    <w:pPr>
      <w:tabs>
        <w:tab w:val="left" w:pos="2302"/>
      </w:tabs>
      <w:ind w:left="1202"/>
    </w:pPr>
  </w:style>
  <w:style w:type="paragraph" w:customStyle="1" w:styleId="Heading41">
    <w:name w:val="Heading 4_1"/>
    <w:basedOn w:val="Normal1"/>
    <w:next w:val="Text41"/>
    <w:qFormat/>
    <w:pPr>
      <w:keepNext/>
      <w:numPr>
        <w:ilvl w:val="3"/>
        <w:numId w:val="34"/>
      </w:numPr>
      <w:outlineLvl w:val="3"/>
    </w:pPr>
  </w:style>
  <w:style w:type="paragraph" w:customStyle="1" w:styleId="Text41">
    <w:name w:val="Text 4_1"/>
    <w:basedOn w:val="Normal1"/>
    <w:pPr>
      <w:tabs>
        <w:tab w:val="left" w:pos="2302"/>
      </w:tabs>
      <w:ind w:left="1202"/>
    </w:pPr>
  </w:style>
  <w:style w:type="paragraph" w:customStyle="1" w:styleId="Text11">
    <w:name w:val="Text 1_1"/>
    <w:basedOn w:val="Normal1"/>
    <w:pPr>
      <w:ind w:left="482"/>
    </w:pPr>
  </w:style>
  <w:style w:type="paragraph" w:customStyle="1" w:styleId="Subtitle10">
    <w:name w:val="Subtitle_1"/>
    <w:basedOn w:val="Normal1"/>
    <w:link w:val="SubtitleChar1"/>
    <w:qFormat/>
    <w:pPr>
      <w:spacing w:after="60"/>
      <w:jc w:val="center"/>
      <w:outlineLvl w:val="1"/>
    </w:pPr>
    <w:rPr>
      <w:rFonts w:ascii="Arial" w:hAnsi="Arial"/>
    </w:rPr>
  </w:style>
  <w:style w:type="character" w:customStyle="1" w:styleId="SubtitleChar1">
    <w:name w:val="Subtitle Char_1"/>
    <w:basedOn w:val="Policepardfaut"/>
    <w:link w:val="Subtitle10"/>
    <w:rsid w:val="00D81A2D"/>
    <w:rPr>
      <w:rFonts w:ascii="Arial" w:hAnsi="Arial"/>
      <w:sz w:val="24"/>
      <w:lang w:eastAsia="en-US"/>
    </w:rPr>
  </w:style>
  <w:style w:type="table" w:customStyle="1" w:styleId="TableGrid0">
    <w:name w:val="Table Grid_0"/>
    <w:basedOn w:val="Tableau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FDF4A2522CFC409C6F89DF651223F2" ma:contentTypeVersion="20" ma:contentTypeDescription="Create a new document." ma:contentTypeScope="" ma:versionID="70fe47504bb7b2dcd83f4e52e8dab0d1">
  <xsd:schema xmlns:xsd="http://www.w3.org/2001/XMLSchema" xmlns:xs="http://www.w3.org/2001/XMLSchema" xmlns:p="http://schemas.microsoft.com/office/2006/metadata/properties" xmlns:ns2="204af3c4-d34c-49ca-a823-665a73d20e88" xmlns:ns3="53dbb298-43e7-49ac-b54d-014137d019a1" targetNamespace="http://schemas.microsoft.com/office/2006/metadata/properties" ma:root="true" ma:fieldsID="9bae135aa39aa3fe4e3f9d102e37cdd3" ns2:_="" ns3:_="">
    <xsd:import namespace="204af3c4-d34c-49ca-a823-665a73d20e88"/>
    <xsd:import namespace="53dbb298-43e7-49ac-b54d-014137d019a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Category" minOccurs="0"/>
                <xsd:element ref="ns2:MediaServiceSearchProperties" minOccurs="0"/>
                <xsd:element ref="ns2:Documenttype" minOccurs="0"/>
                <xsd:element ref="ns2:Applicationtype" minOccurs="0"/>
                <xsd:element ref="ns2:Comments" minOccurs="0"/>
                <xsd:element ref="ns2:Responsibl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04af3c4-d34c-49ca-a823-665a73d20e8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2b2fad6-9d2c-441c-a321-3f5f1e9bd92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Category" ma:index="22" nillable="true" ma:displayName="Domain" ma:format="Dropdown" ma:internalName="Category">
      <xsd:complexType>
        <xsd:complexContent>
          <xsd:extension base="dms:MultiChoice">
            <xsd:sequence>
              <xsd:element name="Value" maxOccurs="unbounded" minOccurs="0" nillable="true">
                <xsd:simpleType>
                  <xsd:restriction base="dms:Choice">
                    <xsd:enumeration value="Food"/>
                    <xsd:enumeration value="Wine"/>
                    <xsd:enumeration value="Spirit"/>
                    <xsd:enumeration value="TSG"/>
                    <xsd:enumeration value="ALL"/>
                  </xsd:restriction>
                </xsd:simpleType>
              </xsd:element>
            </xsd:sequence>
          </xsd:extension>
        </xsd:complexContent>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Documenttype" ma:index="24" nillable="true" ma:displayName="Document type" ma:format="Dropdown" ma:internalName="Documenttype">
      <xsd:simpleType>
        <xsd:restriction base="dms:Choice">
          <xsd:enumeration value="Additional Info"/>
          <xsd:enumeration value="Single Document"/>
          <xsd:enumeration value="Justification"/>
          <xsd:enumeration value="Unspecified"/>
          <xsd:enumeration value="Cover"/>
          <xsd:enumeration value="Declaration"/>
        </xsd:restriction>
      </xsd:simpleType>
    </xsd:element>
    <xsd:element name="Applicationtype" ma:index="25" nillable="true" ma:displayName="Application type" ma:format="Dropdown" ma:internalName="Applicationtype">
      <xsd:complexType>
        <xsd:complexContent>
          <xsd:extension base="dms:MultiChoice">
            <xsd:sequence>
              <xsd:element name="Value" maxOccurs="unbounded" minOccurs="0" nillable="true">
                <xsd:simpleType>
                  <xsd:restriction base="dms:Choice">
                    <xsd:enumeration value="REG"/>
                    <xsd:enumeration value="STD AMD Mod"/>
                    <xsd:enumeration value="STD AMD Not Mod"/>
                    <xsd:enumeration value="TEMP AMD"/>
                    <xsd:enumeration value="UNION AMD"/>
                    <xsd:enumeration value="AMD"/>
                    <xsd:enumeration value="ALL"/>
                    <xsd:enumeration value="BOTH STD AMD"/>
                  </xsd:restriction>
                </xsd:simpleType>
              </xsd:element>
            </xsd:sequence>
          </xsd:extension>
        </xsd:complexContent>
      </xsd:complexType>
    </xsd:element>
    <xsd:element name="Comments" ma:index="26" nillable="true" ma:displayName="Comments" ma:format="Dropdown" ma:internalName="Comments">
      <xsd:simpleType>
        <xsd:restriction base="dms:Text">
          <xsd:maxLength value="255"/>
        </xsd:restriction>
      </xsd:simpleType>
    </xsd:element>
    <xsd:element name="Responsible" ma:index="27" nillable="true" ma:displayName="Responsible" ma:format="Dropdown" ma:list="UserInfo" ma:SharePointGroup="0" ma:internalName="Responsibl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dbb298-43e7-49ac-b54d-014137d019a1"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41046ae7-ff01-4636-817d-225bfcbcfef0}" ma:internalName="TaxCatchAll" ma:showField="CatchAllData" ma:web="53dbb298-43e7-49ac-b54d-014137d019a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Comments xmlns="204af3c4-d34c-49ca-a823-665a73d20e88">Final</Comments>
    <TaxCatchAll xmlns="53dbb298-43e7-49ac-b54d-014137d019a1" xsi:nil="true"/>
    <Applicationtype xmlns="204af3c4-d34c-49ca-a823-665a73d20e88">
      <Value>STD AMD Not Mod</Value>
      <Value>STD AMD Mod</Value>
    </Applicationtype>
    <Category xmlns="204af3c4-d34c-49ca-a823-665a73d20e88">
      <Value>Food</Value>
      <Value>Spirit</Value>
      <Value>Wine</Value>
    </Category>
    <lcf76f155ced4ddcb4097134ff3c332f xmlns="204af3c4-d34c-49ca-a823-665a73d20e88">
      <Terms xmlns="http://schemas.microsoft.com/office/infopath/2007/PartnerControls">
        <TermInfo xmlns="http://schemas.microsoft.com/office/infopath/2007/PartnerControls">
          <TermName xmlns="http://schemas.microsoft.com/office/infopath/2007/PartnerControls"/>
          <TermId xmlns="http://schemas.microsoft.com/office/infopath/2007/PartnerControls"/>
        </TermInfo>
      </Terms>
    </lcf76f155ced4ddcb4097134ff3c332f>
    <Documenttype xmlns="204af3c4-d34c-49ca-a823-665a73d20e88">Cover</Documenttype>
    <Responsible xmlns="204af3c4-d34c-49ca-a823-665a73d20e88">
      <UserInfo>
        <DisplayName>PISARSKI Sebastian (AGRI)</DisplayName>
        <AccountId>24</AccountId>
        <AccountType/>
      </UserInfo>
    </Responsible>
  </documentManagement>
</p:properties>
</file>

<file path=customXml/itemProps1.xml><?xml version="1.0" encoding="utf-8"?>
<ds:datastoreItem xmlns:ds="http://schemas.openxmlformats.org/officeDocument/2006/customXml" ds:itemID="{83EDA765-4876-4D4A-837A-4E16C4649692}">
  <ds:schemaRefs>
    <ds:schemaRef ds:uri="http://schemas.microsoft.com/sharepoint/v3/contenttype/forms"/>
  </ds:schemaRefs>
</ds:datastoreItem>
</file>

<file path=customXml/itemProps2.xml><?xml version="1.0" encoding="utf-8"?>
<ds:datastoreItem xmlns:ds="http://schemas.openxmlformats.org/officeDocument/2006/customXml" ds:itemID="{E6EB4972-7705-4997-BDB7-5B95451960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04af3c4-d34c-49ca-a823-665a73d20e88"/>
    <ds:schemaRef ds:uri="53dbb298-43e7-49ac-b54d-014137d019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A8E86D-CB63-4AAB-8D9F-3044854CA96C}">
  <ds:schemaRefs>
    <ds:schemaRef ds:uri="http://schemas.microsoft.com/office/2006/metadata/properties"/>
    <ds:schemaRef ds:uri="http://schemas.microsoft.com/office/infopath/2007/PartnerControls"/>
    <ds:schemaRef ds:uri="204af3c4-d34c-49ca-a823-665a73d20e88"/>
    <ds:schemaRef ds:uri="53dbb298-43e7-49ac-b54d-014137d019a1"/>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Pages>
  <Words>2576</Words>
  <Characters>19543</Characters>
  <Application>Microsoft Office Word</Application>
  <DocSecurity>0</DocSecurity>
  <Lines>162</Lines>
  <Paragraphs>44</Paragraphs>
  <ScaleCrop>false</ScaleCrop>
  <Company>European Commission</Company>
  <LinksUpToDate>false</LinksUpToDate>
  <CharactersWithSpaces>22075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Mustapha ROBIO</dc:creator>
  <cp:keywords>EL4</cp:keywords>
  <cp:lastModifiedBy>ROBICHON Cathleen</cp:lastModifiedBy>
  <cp:revision>35</cp:revision>
  <dcterms:created xsi:type="dcterms:W3CDTF">2025-03-06T13:15:00Z</dcterms:created>
  <dcterms:modified xsi:type="dcterms:W3CDTF">2026-03-02T14:08:00Z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0x0101003EFDF4A2522CFC409C6F89DF651223F2</vt:lpwstr>
  </property>
  <property fmtid="{D5CDD505-2E9C-101B-9397-08002B2CF9AE}" pid="3" name="Created using">
    <vt:lpwstr>EL 4.6 Build 50000</vt:lpwstr>
  </property>
  <property fmtid="{D5CDD505-2E9C-101B-9397-08002B2CF9AE}" pid="4" name="DocID_EU">
    <vt:lpwstr> </vt:lpwstr>
  </property>
  <property fmtid="{D5CDD505-2E9C-101B-9397-08002B2CF9AE}" pid="5" name="ELDocType">
    <vt:lpwstr>rep.dot</vt:lpwstr>
  </property>
  <property fmtid="{D5CDD505-2E9C-101B-9397-08002B2CF9AE}" pid="6" name="EL_Author">
    <vt:lpwstr>Mustapha ROBIO</vt:lpwstr>
  </property>
  <property fmtid="{D5CDD505-2E9C-101B-9397-08002B2CF9AE}" pid="7" name="EL_Language">
    <vt:lpwstr>EN</vt:lpwstr>
  </property>
  <property fmtid="{D5CDD505-2E9C-101B-9397-08002B2CF9AE}" pid="8" name="EurolookVersion">
    <vt:lpwstr>4.6</vt:lpwstr>
  </property>
  <property fmtid="{D5CDD505-2E9C-101B-9397-08002B2CF9AE}" pid="9" name="Formatting">
    <vt:lpwstr>4.1</vt:lpwstr>
  </property>
  <property fmtid="{D5CDD505-2E9C-101B-9397-08002B2CF9AE}" pid="10" name="Language">
    <vt:lpwstr>EN</vt:lpwstr>
  </property>
  <property fmtid="{D5CDD505-2E9C-101B-9397-08002B2CF9AE}" pid="11" name="Last edited using">
    <vt:lpwstr>EL 4.6 Build 50000</vt:lpwstr>
  </property>
  <property fmtid="{D5CDD505-2E9C-101B-9397-08002B2CF9AE}" pid="12" name="MediaServiceImageTags">
    <vt:lpwstr/>
  </property>
  <property fmtid="{D5CDD505-2E9C-101B-9397-08002B2CF9AE}" pid="13" name="MSIP_Label_6bd9ddd1-4d20-43f6-abfa-fc3c07406f94_ActionId">
    <vt:lpwstr>a5baae33-3d0a-4e67-be57-f093e3943c6f</vt:lpwstr>
  </property>
  <property fmtid="{D5CDD505-2E9C-101B-9397-08002B2CF9AE}" pid="14" name="MSIP_Label_6bd9ddd1-4d20-43f6-abfa-fc3c07406f94_ContentBits">
    <vt:lpwstr>0</vt:lpwstr>
  </property>
  <property fmtid="{D5CDD505-2E9C-101B-9397-08002B2CF9AE}" pid="15" name="MSIP_Label_6bd9ddd1-4d20-43f6-abfa-fc3c07406f94_Enabled">
    <vt:lpwstr>true</vt:lpwstr>
  </property>
  <property fmtid="{D5CDD505-2E9C-101B-9397-08002B2CF9AE}" pid="16" name="MSIP_Label_6bd9ddd1-4d20-43f6-abfa-fc3c07406f94_Method">
    <vt:lpwstr>Standard</vt:lpwstr>
  </property>
  <property fmtid="{D5CDD505-2E9C-101B-9397-08002B2CF9AE}" pid="17" name="MSIP_Label_6bd9ddd1-4d20-43f6-abfa-fc3c07406f94_Name">
    <vt:lpwstr>Commission Use</vt:lpwstr>
  </property>
  <property fmtid="{D5CDD505-2E9C-101B-9397-08002B2CF9AE}" pid="18" name="MSIP_Label_6bd9ddd1-4d20-43f6-abfa-fc3c07406f94_SetDate">
    <vt:lpwstr>2023-10-30T08:14:25Z</vt:lpwstr>
  </property>
  <property fmtid="{D5CDD505-2E9C-101B-9397-08002B2CF9AE}" pid="19" name="MSIP_Label_6bd9ddd1-4d20-43f6-abfa-fc3c07406f94_SiteId">
    <vt:lpwstr>b24c8b06-522c-46fe-9080-70926f8dddb1</vt:lpwstr>
  </property>
  <property fmtid="{D5CDD505-2E9C-101B-9397-08002B2CF9AE}" pid="20" name="TemplateVersion">
    <vt:lpwstr>4.6.5.0000</vt:lpwstr>
  </property>
  <property fmtid="{D5CDD505-2E9C-101B-9397-08002B2CF9AE}" pid="21" name="Type">
    <vt:lpwstr>Eurolook Report</vt:lpwstr>
  </property>
</Properties>
</file>